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56E1AF" w14:textId="77777777" w:rsidR="00495EA2" w:rsidRDefault="00000000">
      <w:pPr>
        <w:keepNext/>
        <w:spacing w:before="60" w:after="150"/>
        <w:jc w:val="center"/>
      </w:pPr>
      <w:r>
        <w:rPr>
          <w:b/>
          <w:bCs/>
          <w:sz w:val="25"/>
          <w:szCs w:val="25"/>
        </w:rPr>
        <w:t>MODELO DE RECLAMACIÓN DE RESPONSABILIDAD PATRIMONIAL</w:t>
      </w:r>
      <w:r>
        <w:rPr>
          <w:rStyle w:val="Refdenotaalpie"/>
        </w:rPr>
        <w:footnoteReference w:id="1"/>
      </w:r>
    </w:p>
    <w:p w14:paraId="681CE817" w14:textId="77777777" w:rsidR="00495EA2" w:rsidRDefault="00000000">
      <w:pPr>
        <w:spacing w:after="60" w:line="276" w:lineRule="auto"/>
        <w:jc w:val="center"/>
      </w:pPr>
      <w:r>
        <w:rPr>
          <w:b/>
          <w:bCs/>
          <w:sz w:val="22"/>
          <w:szCs w:val="22"/>
        </w:rPr>
        <w:t>Gastos de obtención y de mantenimiento del Número de Registro Único de Arrendamiento (NRUA), incluido el depósito anual del modelo informativo de arrendamientos</w:t>
      </w:r>
    </w:p>
    <w:p w14:paraId="38009B50" w14:textId="77777777" w:rsidR="00495EA2" w:rsidRDefault="00000000">
      <w:pPr>
        <w:spacing w:after="40" w:line="264" w:lineRule="auto"/>
        <w:jc w:val="center"/>
      </w:pPr>
      <w:r>
        <w:rPr>
          <w:b/>
          <w:bCs/>
          <w:i/>
          <w:iCs/>
          <w:sz w:val="19"/>
          <w:szCs w:val="19"/>
        </w:rPr>
        <w:t xml:space="preserve">Sentencias del Tribunal Supremo (Sala Tercera, Sección 3.ª) </w:t>
      </w:r>
      <w:proofErr w:type="spellStart"/>
      <w:r>
        <w:rPr>
          <w:b/>
          <w:bCs/>
          <w:i/>
          <w:iCs/>
          <w:sz w:val="19"/>
          <w:szCs w:val="19"/>
        </w:rPr>
        <w:t>núms</w:t>
      </w:r>
      <w:proofErr w:type="spellEnd"/>
      <w:r>
        <w:rPr>
          <w:b/>
          <w:bCs/>
          <w:i/>
          <w:iCs/>
          <w:sz w:val="19"/>
          <w:szCs w:val="19"/>
        </w:rPr>
        <w:t>. 620/2026, de 19 de mayo (rec. 143/2025; ECLI:ES:</w:t>
      </w:r>
      <w:proofErr w:type="gramStart"/>
      <w:r>
        <w:rPr>
          <w:b/>
          <w:bCs/>
          <w:i/>
          <w:iCs/>
          <w:sz w:val="19"/>
          <w:szCs w:val="19"/>
        </w:rPr>
        <w:t>TS:2026:2148</w:t>
      </w:r>
      <w:proofErr w:type="gramEnd"/>
      <w:r>
        <w:rPr>
          <w:b/>
          <w:bCs/>
          <w:i/>
          <w:iCs/>
          <w:sz w:val="19"/>
          <w:szCs w:val="19"/>
        </w:rPr>
        <w:t>), 629/2026, de 21 de mayo, y 649/2026, de 27 de mayo, entre otras concordantes, de anulación parcial del Real Decreto 1312/2024, de 23 de diciembre</w:t>
      </w:r>
    </w:p>
    <w:p w14:paraId="0A53278E" w14:textId="77777777" w:rsidR="00495EA2" w:rsidRDefault="00000000">
      <w:pPr>
        <w:spacing w:after="170" w:line="276" w:lineRule="auto"/>
        <w:jc w:val="center"/>
      </w:pPr>
      <w:r>
        <w:rPr>
          <w:i/>
          <w:iCs/>
          <w:sz w:val="19"/>
          <w:szCs w:val="19"/>
        </w:rPr>
        <w:t>Artículos 106.2 de la Constitución; 32 a 35 de la Ley 40/2015; 66, 67, 81, 82, 91 y 92 de la Ley 39/2015</w:t>
      </w:r>
    </w:p>
    <w:tbl>
      <w:tblPr>
        <w:tblW w:w="9070" w:type="dxa"/>
        <w:tblBorders>
          <w:top w:val="single" w:sz="6" w:space="0" w:color="9DC3E6"/>
          <w:left w:val="single" w:sz="18" w:space="0" w:color="2E5C8A"/>
          <w:bottom w:val="single" w:sz="6" w:space="0" w:color="9DC3E6"/>
          <w:right w:val="single" w:sz="6" w:space="0" w:color="9DC3E6"/>
        </w:tblBorders>
        <w:tblCellMar>
          <w:left w:w="10" w:type="dxa"/>
          <w:right w:w="10" w:type="dxa"/>
        </w:tblCellMar>
        <w:tblLook w:val="04A0" w:firstRow="1" w:lastRow="0" w:firstColumn="1" w:lastColumn="0" w:noHBand="0" w:noVBand="1"/>
      </w:tblPr>
      <w:tblGrid>
        <w:gridCol w:w="9070"/>
      </w:tblGrid>
      <w:tr w:rsidR="00495EA2" w14:paraId="414D6EAA" w14:textId="77777777">
        <w:tc>
          <w:tcPr>
            <w:tcW w:w="9070" w:type="dxa"/>
            <w:shd w:val="clear" w:color="auto" w:fill="F2F7FB"/>
            <w:tcMar>
              <w:top w:w="140" w:type="dxa"/>
              <w:left w:w="200" w:type="dxa"/>
              <w:bottom w:w="140" w:type="dxa"/>
              <w:right w:w="200" w:type="dxa"/>
            </w:tcMar>
          </w:tcPr>
          <w:p w14:paraId="33211DBF" w14:textId="77777777" w:rsidR="00495EA2" w:rsidRDefault="00000000">
            <w:pPr>
              <w:spacing w:after="130" w:line="276" w:lineRule="auto"/>
              <w:jc w:val="center"/>
            </w:pPr>
            <w:r>
              <w:rPr>
                <w:b/>
                <w:bCs/>
              </w:rPr>
              <w:t>CÓMO SE RELLENA ESTE DOCUMENTO</w:t>
            </w:r>
          </w:p>
          <w:p w14:paraId="187EF3D8" w14:textId="77777777" w:rsidR="00495EA2" w:rsidRDefault="00000000">
            <w:pPr>
              <w:spacing w:after="70" w:line="276" w:lineRule="auto"/>
              <w:jc w:val="both"/>
            </w:pPr>
            <w:r>
              <w:rPr>
                <w:b/>
                <w:bCs/>
                <w:sz w:val="19"/>
                <w:szCs w:val="19"/>
              </w:rPr>
              <w:t xml:space="preserve">1.  </w:t>
            </w:r>
            <w:r>
              <w:rPr>
                <w:b/>
                <w:bCs/>
                <w:color w:val="1F3864"/>
                <w:sz w:val="22"/>
                <w:szCs w:val="22"/>
                <w:shd w:val="clear" w:color="auto" w:fill="FFF2CC"/>
              </w:rPr>
              <w:t>Campos resaltados</w:t>
            </w:r>
            <w:r>
              <w:rPr>
                <w:sz w:val="19"/>
                <w:szCs w:val="19"/>
              </w:rPr>
              <w:t>: todo lo que aparece resaltado en amarillo es lo que usted debe sustituir por sus datos.</w:t>
            </w:r>
          </w:p>
          <w:p w14:paraId="595D5592" w14:textId="77777777" w:rsidR="00495EA2" w:rsidRDefault="00000000">
            <w:pPr>
              <w:spacing w:after="70" w:line="276" w:lineRule="auto"/>
              <w:jc w:val="both"/>
            </w:pPr>
            <w:r>
              <w:rPr>
                <w:b/>
                <w:bCs/>
                <w:sz w:val="19"/>
                <w:szCs w:val="19"/>
              </w:rPr>
              <w:t xml:space="preserve">2.  </w:t>
            </w:r>
            <w:r>
              <w:rPr>
                <w:b/>
                <w:bCs/>
                <w:color w:val="1F3864"/>
                <w:sz w:val="19"/>
                <w:szCs w:val="19"/>
              </w:rPr>
              <w:t xml:space="preserve">[   ] </w:t>
            </w:r>
            <w:r>
              <w:rPr>
                <w:sz w:val="19"/>
                <w:szCs w:val="19"/>
              </w:rPr>
              <w:t>Casillas: marque con una X la opción que corresponda y borre las líneas restantes.</w:t>
            </w:r>
          </w:p>
          <w:p w14:paraId="6CA8B367" w14:textId="77777777" w:rsidR="00495EA2" w:rsidRDefault="00000000">
            <w:pPr>
              <w:spacing w:after="70" w:line="276" w:lineRule="auto"/>
              <w:jc w:val="both"/>
            </w:pPr>
            <w:r>
              <w:rPr>
                <w:b/>
                <w:bCs/>
                <w:sz w:val="19"/>
                <w:szCs w:val="19"/>
              </w:rPr>
              <w:t xml:space="preserve">3.  </w:t>
            </w:r>
            <w:r>
              <w:rPr>
                <w:b/>
                <w:bCs/>
                <w:color w:val="767171"/>
                <w:sz w:val="19"/>
                <w:szCs w:val="19"/>
              </w:rPr>
              <w:t>▸ OPCIONAL</w:t>
            </w:r>
            <w:r>
              <w:rPr>
                <w:sz w:val="19"/>
                <w:szCs w:val="19"/>
              </w:rPr>
              <w:t>: los bloques así rotulados se suprimen íntegramente cuando no correspondan a su situación.</w:t>
            </w:r>
          </w:p>
          <w:p w14:paraId="1EF76FCE" w14:textId="77777777" w:rsidR="00495EA2" w:rsidRDefault="00000000">
            <w:pPr>
              <w:spacing w:after="70" w:line="276" w:lineRule="auto"/>
              <w:jc w:val="both"/>
            </w:pPr>
            <w:r>
              <w:rPr>
                <w:b/>
                <w:bCs/>
                <w:sz w:val="19"/>
                <w:szCs w:val="19"/>
              </w:rPr>
              <w:t xml:space="preserve">4.  </w:t>
            </w:r>
            <w:r>
              <w:rPr>
                <w:sz w:val="19"/>
                <w:szCs w:val="19"/>
              </w:rPr>
              <w:t xml:space="preserve">Notas al pie </w:t>
            </w:r>
            <w:r>
              <w:rPr>
                <w:i/>
                <w:iCs/>
                <w:color w:val="767171"/>
                <w:sz w:val="19"/>
                <w:szCs w:val="19"/>
              </w:rPr>
              <w:t>(rotuladas «GUÍA»)</w:t>
            </w:r>
            <w:r>
              <w:rPr>
                <w:sz w:val="19"/>
                <w:szCs w:val="19"/>
              </w:rPr>
              <w:t xml:space="preserve">: son instrucciones de ayuda. </w:t>
            </w:r>
            <w:r>
              <w:rPr>
                <w:b/>
                <w:bCs/>
                <w:sz w:val="19"/>
                <w:szCs w:val="19"/>
              </w:rPr>
              <w:t>Bórrelas todas —y también este recuadro— antes de presentar el escrito.</w:t>
            </w:r>
          </w:p>
          <w:p w14:paraId="1588EF35" w14:textId="77777777" w:rsidR="00495EA2" w:rsidRDefault="00000000">
            <w:pPr>
              <w:spacing w:line="276" w:lineRule="auto"/>
              <w:jc w:val="both"/>
            </w:pPr>
            <w:r>
              <w:rPr>
                <w:b/>
                <w:bCs/>
                <w:sz w:val="19"/>
                <w:szCs w:val="19"/>
              </w:rPr>
              <w:t xml:space="preserve">5.  </w:t>
            </w:r>
            <w:r>
              <w:rPr>
                <w:sz w:val="19"/>
                <w:szCs w:val="19"/>
              </w:rPr>
              <w:t>El resto del texto es contenido jurídico fijo: no lo modifique salvo que la nota correspondiente se lo indique.</w:t>
            </w:r>
          </w:p>
        </w:tc>
      </w:tr>
    </w:tbl>
    <w:p w14:paraId="529B4241" w14:textId="77777777" w:rsidR="00495EA2" w:rsidRDefault="00000000">
      <w:pPr>
        <w:spacing w:before="200" w:after="180" w:line="276" w:lineRule="auto"/>
        <w:ind w:left="340" w:right="340"/>
        <w:jc w:val="both"/>
      </w:pPr>
      <w:r>
        <w:rPr>
          <w:b/>
          <w:bCs/>
          <w:sz w:val="19"/>
          <w:szCs w:val="19"/>
        </w:rPr>
        <w:t xml:space="preserve">Alcance. </w:t>
      </w:r>
      <w:r>
        <w:rPr>
          <w:sz w:val="19"/>
          <w:szCs w:val="19"/>
        </w:rPr>
        <w:t>Esta reclamación se limita a los gastos soportados para obtener el NRUA y para mantenerlo vigente —señaladamente, el depósito anual del modelo informativo de arrendamientos del artículo 10.4 del Real Decreto—. No comprende lucro cesante, pérdida de reservas, bloqueo de anuncios ni daños comerciales, cuya reclamación queda expresamente reservada en el otrosí segundo.</w:t>
      </w:r>
    </w:p>
    <w:p w14:paraId="294990EE" w14:textId="77777777" w:rsidR="00495EA2" w:rsidRDefault="00495EA2">
      <w:pPr>
        <w:pBdr>
          <w:bottom w:val="single" w:sz="6" w:space="4" w:color="AAAAAA"/>
        </w:pBdr>
        <w:spacing w:before="40" w:after="180"/>
      </w:pPr>
    </w:p>
    <w:p w14:paraId="0649C1B9" w14:textId="77777777" w:rsidR="00495EA2" w:rsidRDefault="00000000">
      <w:pPr>
        <w:spacing w:after="20"/>
      </w:pPr>
      <w:r>
        <w:rPr>
          <w:b/>
          <w:bCs/>
          <w:sz w:val="22"/>
          <w:szCs w:val="22"/>
        </w:rPr>
        <w:t>MINISTERIO DE VIVIENDA Y AGENDA URBANA</w:t>
      </w:r>
      <w:r>
        <w:rPr>
          <w:rStyle w:val="Refdenotaalpie"/>
        </w:rPr>
        <w:footnoteReference w:id="2"/>
      </w:r>
    </w:p>
    <w:p w14:paraId="56997FB7" w14:textId="77777777" w:rsidR="00495EA2" w:rsidRDefault="00000000">
      <w:pPr>
        <w:spacing w:after="200" w:line="276" w:lineRule="auto"/>
        <w:jc w:val="both"/>
      </w:pPr>
      <w:r>
        <w:rPr>
          <w:sz w:val="22"/>
          <w:szCs w:val="22"/>
        </w:rPr>
        <w:t>Subsecretaría — Unidad tramitadora de reclamaciones de responsabilidad patrimonial</w:t>
      </w:r>
    </w:p>
    <w:p w14:paraId="59C58172" w14:textId="77777777" w:rsidR="00495EA2" w:rsidRPr="00186C55" w:rsidRDefault="00000000">
      <w:pPr>
        <w:spacing w:after="220" w:line="276" w:lineRule="auto"/>
        <w:jc w:val="both"/>
      </w:pPr>
      <w:r>
        <w:rPr>
          <w:b/>
          <w:bCs/>
          <w:sz w:val="22"/>
          <w:szCs w:val="22"/>
        </w:rPr>
        <w:t xml:space="preserve">Asunto: </w:t>
      </w:r>
      <w:r>
        <w:rPr>
          <w:sz w:val="22"/>
          <w:szCs w:val="22"/>
        </w:rPr>
        <w:t xml:space="preserve">Reclamación de responsabilidad patrimonial de la Administración General del Estado por los gastos soportados para la obtención y el mantenimiento del Número de Registro Único de Arrendamiento (NRUA), como consecuencia de la anulación parcial del Real Decreto 1312/2024 por la STS 620/2026, de 19 de mayo, </w:t>
      </w:r>
      <w:r w:rsidRPr="00186C55">
        <w:rPr>
          <w:sz w:val="22"/>
          <w:szCs w:val="22"/>
        </w:rPr>
        <w:t>y por las restantes sentencias concordantes de la Sala Tercera del Tribunal Supremo.</w:t>
      </w:r>
    </w:p>
    <w:p w14:paraId="0903D6D2" w14:textId="77777777" w:rsidR="00495EA2" w:rsidRDefault="00000000">
      <w:pPr>
        <w:spacing w:after="120" w:line="276" w:lineRule="auto"/>
        <w:jc w:val="both"/>
      </w:pPr>
      <w:r>
        <w:rPr>
          <w:sz w:val="22"/>
          <w:szCs w:val="22"/>
        </w:rPr>
        <w:t xml:space="preserve">D./D.ª </w:t>
      </w:r>
      <w:r>
        <w:rPr>
          <w:b/>
          <w:bCs/>
          <w:color w:val="1F3864"/>
          <w:sz w:val="22"/>
          <w:szCs w:val="22"/>
          <w:shd w:val="clear" w:color="auto" w:fill="FFF2CC"/>
        </w:rPr>
        <w:t>[NOMBRE Y APELLIDOS]</w:t>
      </w:r>
      <w:r>
        <w:rPr>
          <w:rStyle w:val="Refdenotaalpie"/>
        </w:rPr>
        <w:footnoteReference w:id="3"/>
      </w:r>
      <w:r>
        <w:rPr>
          <w:sz w:val="22"/>
          <w:szCs w:val="22"/>
        </w:rPr>
        <w:t xml:space="preserve">, mayor de edad, con DNI/NIE núm. </w:t>
      </w:r>
      <w:r>
        <w:rPr>
          <w:b/>
          <w:bCs/>
          <w:color w:val="1F3864"/>
          <w:sz w:val="22"/>
          <w:szCs w:val="22"/>
          <w:shd w:val="clear" w:color="auto" w:fill="FFF2CC"/>
        </w:rPr>
        <w:t>[·]</w:t>
      </w:r>
      <w:r>
        <w:rPr>
          <w:sz w:val="22"/>
          <w:szCs w:val="22"/>
        </w:rPr>
        <w:t xml:space="preserve">, con domicilio a efectos de notificaciones en </w:t>
      </w:r>
      <w:r>
        <w:rPr>
          <w:b/>
          <w:bCs/>
          <w:color w:val="1F3864"/>
          <w:sz w:val="22"/>
          <w:szCs w:val="22"/>
          <w:shd w:val="clear" w:color="auto" w:fill="FFF2CC"/>
        </w:rPr>
        <w:t>[·]</w:t>
      </w:r>
      <w:r>
        <w:rPr>
          <w:sz w:val="22"/>
          <w:szCs w:val="22"/>
        </w:rPr>
        <w:t xml:space="preserve">, correo electrónico </w:t>
      </w:r>
      <w:r>
        <w:rPr>
          <w:b/>
          <w:bCs/>
          <w:color w:val="1F3864"/>
          <w:sz w:val="22"/>
          <w:szCs w:val="22"/>
          <w:shd w:val="clear" w:color="auto" w:fill="FFF2CC"/>
        </w:rPr>
        <w:t>[·]</w:t>
      </w:r>
      <w:r>
        <w:rPr>
          <w:sz w:val="22"/>
          <w:szCs w:val="22"/>
        </w:rPr>
        <w:t xml:space="preserve"> y teléfono </w:t>
      </w:r>
      <w:r>
        <w:rPr>
          <w:b/>
          <w:bCs/>
          <w:color w:val="1F3864"/>
          <w:sz w:val="22"/>
          <w:szCs w:val="22"/>
          <w:shd w:val="clear" w:color="auto" w:fill="FFF2CC"/>
        </w:rPr>
        <w:t>[·]</w:t>
      </w:r>
      <w:r>
        <w:rPr>
          <w:sz w:val="22"/>
          <w:szCs w:val="22"/>
        </w:rPr>
        <w:t>.</w:t>
      </w:r>
    </w:p>
    <w:p w14:paraId="7354F90C" w14:textId="77777777" w:rsidR="00495EA2" w:rsidRDefault="00000000">
      <w:pPr>
        <w:keepNext/>
        <w:spacing w:before="150" w:after="40"/>
      </w:pPr>
      <w:r>
        <w:rPr>
          <w:b/>
          <w:bCs/>
          <w:color w:val="767171"/>
          <w:sz w:val="17"/>
          <w:szCs w:val="17"/>
        </w:rPr>
        <w:lastRenderedPageBreak/>
        <w:t>▸ OPCIONAL — sólo si actúa por medio de representante o en nombre de una sociedad</w:t>
      </w:r>
    </w:p>
    <w:p w14:paraId="1DE33B7F" w14:textId="77777777" w:rsidR="00495EA2" w:rsidRDefault="00000000">
      <w:pPr>
        <w:spacing w:after="120" w:line="276" w:lineRule="auto"/>
        <w:jc w:val="both"/>
      </w:pPr>
      <w:r>
        <w:rPr>
          <w:sz w:val="22"/>
          <w:szCs w:val="22"/>
        </w:rPr>
        <w:t xml:space="preserve">Actuando en nombre y representación de </w:t>
      </w:r>
      <w:r>
        <w:rPr>
          <w:b/>
          <w:bCs/>
          <w:color w:val="1F3864"/>
          <w:sz w:val="22"/>
          <w:szCs w:val="22"/>
          <w:shd w:val="clear" w:color="auto" w:fill="FFF2CC"/>
        </w:rPr>
        <w:t>[DENOMINACIÓN SOCIAL O NOMBRE DEL REPRESENTADO]</w:t>
      </w:r>
      <w:r>
        <w:rPr>
          <w:sz w:val="22"/>
          <w:szCs w:val="22"/>
        </w:rPr>
        <w:t xml:space="preserve">, con NIF núm. </w:t>
      </w:r>
      <w:r>
        <w:rPr>
          <w:b/>
          <w:bCs/>
          <w:color w:val="1F3864"/>
          <w:sz w:val="22"/>
          <w:szCs w:val="22"/>
          <w:shd w:val="clear" w:color="auto" w:fill="FFF2CC"/>
        </w:rPr>
        <w:t>[·]</w:t>
      </w:r>
      <w:r>
        <w:rPr>
          <w:sz w:val="22"/>
          <w:szCs w:val="22"/>
        </w:rPr>
        <w:t xml:space="preserve"> y domicilio en </w:t>
      </w:r>
      <w:r>
        <w:rPr>
          <w:b/>
          <w:bCs/>
          <w:color w:val="1F3864"/>
          <w:sz w:val="22"/>
          <w:szCs w:val="22"/>
          <w:shd w:val="clear" w:color="auto" w:fill="FFF2CC"/>
        </w:rPr>
        <w:t>[·]</w:t>
      </w:r>
      <w:r>
        <w:rPr>
          <w:sz w:val="22"/>
          <w:szCs w:val="22"/>
        </w:rPr>
        <w:t xml:space="preserve">, en su condición de </w:t>
      </w:r>
      <w:r>
        <w:rPr>
          <w:b/>
          <w:bCs/>
          <w:color w:val="1F3864"/>
          <w:sz w:val="22"/>
          <w:szCs w:val="22"/>
          <w:shd w:val="clear" w:color="auto" w:fill="FFF2CC"/>
        </w:rPr>
        <w:t>[administrador único / apoderado / representante voluntario]</w:t>
      </w:r>
      <w:r>
        <w:rPr>
          <w:sz w:val="22"/>
          <w:szCs w:val="22"/>
        </w:rPr>
        <w:t>, según acredita mediante el documento que se acompaña.</w:t>
      </w:r>
      <w:r>
        <w:rPr>
          <w:rStyle w:val="Refdenotaalpie"/>
        </w:rPr>
        <w:footnoteReference w:id="4"/>
      </w:r>
    </w:p>
    <w:p w14:paraId="316E2D76" w14:textId="77777777" w:rsidR="00495EA2" w:rsidRDefault="00000000">
      <w:pPr>
        <w:spacing w:after="180" w:line="276" w:lineRule="auto"/>
        <w:jc w:val="both"/>
      </w:pPr>
      <w:r>
        <w:rPr>
          <w:sz w:val="22"/>
          <w:szCs w:val="22"/>
        </w:rPr>
        <w:t>Señalando expresamente como medio preferente de notificación el electrónico, en la dirección de correo y en la Dirección Electrónica Habilitada Única indicadas.</w:t>
      </w:r>
    </w:p>
    <w:p w14:paraId="6AD2D5CA" w14:textId="77777777" w:rsidR="00495EA2" w:rsidRPr="00186C55" w:rsidRDefault="00000000">
      <w:pPr>
        <w:spacing w:after="180" w:line="276" w:lineRule="auto"/>
        <w:jc w:val="both"/>
      </w:pPr>
      <w:r w:rsidRPr="00186C55">
        <w:rPr>
          <w:sz w:val="22"/>
          <w:szCs w:val="22"/>
        </w:rPr>
        <w:t>COMPARECE</w:t>
      </w:r>
      <w:r>
        <w:rPr>
          <w:b/>
          <w:bCs/>
          <w:sz w:val="22"/>
          <w:szCs w:val="22"/>
        </w:rPr>
        <w:t xml:space="preserve"> </w:t>
      </w:r>
      <w:r w:rsidRPr="00186C55">
        <w:rPr>
          <w:sz w:val="22"/>
          <w:szCs w:val="22"/>
        </w:rPr>
        <w:t>y, como mejor proceda en Derecho, DICE:</w:t>
      </w:r>
    </w:p>
    <w:p w14:paraId="3560A2FD" w14:textId="77777777" w:rsidR="00495EA2" w:rsidRDefault="00000000">
      <w:pPr>
        <w:spacing w:after="200" w:line="276" w:lineRule="auto"/>
        <w:jc w:val="both"/>
      </w:pPr>
      <w:r>
        <w:rPr>
          <w:sz w:val="22"/>
          <w:szCs w:val="22"/>
        </w:rPr>
        <w:t xml:space="preserve">Que, dentro del plazo legalmente establecido y al amparo de los artículos 106.2 de la Constitución, 32 a 35 de la Ley 40/2015, de 1 de octubre, de Régimen Jurídico del Sector Público, y 66, 67, 81, 91 y 92 de la Ley 39/2015, de 1 de octubre, del Procedimiento Administrativo Común de las Administraciones Públicas, formula </w:t>
      </w:r>
      <w:r>
        <w:rPr>
          <w:b/>
          <w:bCs/>
          <w:sz w:val="22"/>
          <w:szCs w:val="22"/>
        </w:rPr>
        <w:t>RECLAMACIÓN DE RESPONSABILIDAD PATRIMONIAL</w:t>
      </w:r>
      <w:r>
        <w:rPr>
          <w:sz w:val="22"/>
          <w:szCs w:val="22"/>
        </w:rPr>
        <w:t xml:space="preserve"> frente a la Administración General del Estado, en cuantía de </w:t>
      </w:r>
      <w:r>
        <w:rPr>
          <w:b/>
          <w:bCs/>
          <w:color w:val="1F3864"/>
          <w:sz w:val="22"/>
          <w:szCs w:val="22"/>
          <w:shd w:val="clear" w:color="auto" w:fill="FFF2CC"/>
        </w:rPr>
        <w:t>[IMPORTE]</w:t>
      </w:r>
      <w:r>
        <w:rPr>
          <w:b/>
          <w:bCs/>
          <w:sz w:val="22"/>
          <w:szCs w:val="22"/>
        </w:rPr>
        <w:t xml:space="preserve"> euros</w:t>
      </w:r>
      <w:r>
        <w:rPr>
          <w:rStyle w:val="Refdenotaalpie"/>
        </w:rPr>
        <w:footnoteReference w:id="5"/>
      </w:r>
      <w:r>
        <w:rPr>
          <w:sz w:val="22"/>
          <w:szCs w:val="22"/>
        </w:rPr>
        <w:t>, más los intereses y la actualización que procedan, importe al que ascienden exclusivamente los gastos soportados para la obtención y el mantenimiento del NRUA, con base en los siguientes</w:t>
      </w:r>
    </w:p>
    <w:p w14:paraId="5759A072" w14:textId="77777777" w:rsidR="00495EA2" w:rsidRDefault="00000000">
      <w:pPr>
        <w:keepNext/>
        <w:spacing w:before="260" w:after="180"/>
        <w:jc w:val="center"/>
      </w:pPr>
      <w:r>
        <w:rPr>
          <w:b/>
          <w:bCs/>
          <w:sz w:val="24"/>
          <w:szCs w:val="24"/>
        </w:rPr>
        <w:t>HECHOS</w:t>
      </w:r>
    </w:p>
    <w:p w14:paraId="246D1BC5" w14:textId="5138E1B9" w:rsidR="00495EA2" w:rsidRDefault="00186C55" w:rsidP="00186C55">
      <w:pPr>
        <w:keepNext/>
        <w:pBdr>
          <w:bottom w:val="single" w:sz="24" w:space="1" w:color="5B9BD5" w:themeColor="accent5"/>
        </w:pBdr>
        <w:spacing w:before="220" w:after="110"/>
      </w:pPr>
      <w:r>
        <w:rPr>
          <w:b/>
          <w:bCs/>
          <w:sz w:val="22"/>
          <w:szCs w:val="22"/>
        </w:rPr>
        <w:t>PRIMERO. —</w:t>
      </w:r>
      <w:r w:rsidR="00000000">
        <w:rPr>
          <w:b/>
          <w:bCs/>
          <w:sz w:val="22"/>
          <w:szCs w:val="22"/>
        </w:rPr>
        <w:t xml:space="preserve"> Condición del reclamante y unidad de alojamiento afectada.</w:t>
      </w:r>
    </w:p>
    <w:p w14:paraId="08CF0CB1" w14:textId="77777777" w:rsidR="00495EA2" w:rsidRDefault="00000000">
      <w:pPr>
        <w:spacing w:after="100" w:line="276" w:lineRule="auto"/>
        <w:jc w:val="both"/>
      </w:pPr>
      <w:r>
        <w:rPr>
          <w:sz w:val="22"/>
          <w:szCs w:val="22"/>
        </w:rPr>
        <w:t>El reclamante ostenta, respecto de la unidad de alojamiento a que se refiere esta reclamación, la condición de:</w:t>
      </w:r>
      <w:r>
        <w:rPr>
          <w:rStyle w:val="Refdenotaalpie"/>
        </w:rPr>
        <w:footnoteReference w:id="6"/>
      </w:r>
    </w:p>
    <w:p w14:paraId="0A2697A7" w14:textId="77777777" w:rsidR="00495EA2" w:rsidRDefault="00000000">
      <w:pPr>
        <w:spacing w:after="40" w:line="264" w:lineRule="auto"/>
        <w:ind w:left="700" w:hanging="280"/>
      </w:pPr>
      <w:r>
        <w:rPr>
          <w:b/>
          <w:bCs/>
          <w:color w:val="1F3864"/>
          <w:sz w:val="22"/>
          <w:szCs w:val="22"/>
        </w:rPr>
        <w:t xml:space="preserve">[   ]   </w:t>
      </w:r>
      <w:r>
        <w:rPr>
          <w:sz w:val="22"/>
          <w:szCs w:val="22"/>
        </w:rPr>
        <w:t>Propietario.</w:t>
      </w:r>
    </w:p>
    <w:p w14:paraId="0594A1BC" w14:textId="77777777" w:rsidR="00495EA2" w:rsidRDefault="00000000">
      <w:pPr>
        <w:spacing w:after="40" w:line="264" w:lineRule="auto"/>
        <w:ind w:left="700" w:hanging="280"/>
      </w:pPr>
      <w:r>
        <w:rPr>
          <w:b/>
          <w:bCs/>
          <w:color w:val="1F3864"/>
          <w:sz w:val="22"/>
          <w:szCs w:val="22"/>
        </w:rPr>
        <w:t xml:space="preserve">[   ]   </w:t>
      </w:r>
      <w:r>
        <w:rPr>
          <w:sz w:val="22"/>
          <w:szCs w:val="22"/>
        </w:rPr>
        <w:t>Usufructuario.</w:t>
      </w:r>
    </w:p>
    <w:p w14:paraId="320D6863" w14:textId="77777777" w:rsidR="00495EA2" w:rsidRDefault="00000000">
      <w:pPr>
        <w:spacing w:after="40" w:line="264" w:lineRule="auto"/>
        <w:ind w:left="700" w:hanging="280"/>
      </w:pPr>
      <w:r>
        <w:rPr>
          <w:b/>
          <w:bCs/>
          <w:color w:val="1F3864"/>
          <w:sz w:val="22"/>
          <w:szCs w:val="22"/>
        </w:rPr>
        <w:t xml:space="preserve">[   ]   </w:t>
      </w:r>
      <w:r>
        <w:rPr>
          <w:sz w:val="22"/>
          <w:szCs w:val="22"/>
        </w:rPr>
        <w:t>Arrendatario facultado para subarrendar.</w:t>
      </w:r>
    </w:p>
    <w:p w14:paraId="476A758E" w14:textId="77777777" w:rsidR="00495EA2" w:rsidRDefault="00000000">
      <w:pPr>
        <w:spacing w:after="40" w:line="264" w:lineRule="auto"/>
        <w:ind w:left="700" w:hanging="280"/>
      </w:pPr>
      <w:r>
        <w:rPr>
          <w:b/>
          <w:bCs/>
          <w:color w:val="1F3864"/>
          <w:sz w:val="22"/>
          <w:szCs w:val="22"/>
        </w:rPr>
        <w:t xml:space="preserve">[   ]   </w:t>
      </w:r>
      <w:r>
        <w:rPr>
          <w:sz w:val="22"/>
          <w:szCs w:val="22"/>
        </w:rPr>
        <w:t>Titular de la explotación del alojamiento.</w:t>
      </w:r>
    </w:p>
    <w:p w14:paraId="5A2CAF63" w14:textId="77777777" w:rsidR="00495EA2" w:rsidRDefault="00000000">
      <w:pPr>
        <w:spacing w:after="40" w:line="264" w:lineRule="auto"/>
        <w:ind w:left="700" w:hanging="280"/>
      </w:pPr>
      <w:r>
        <w:rPr>
          <w:b/>
          <w:bCs/>
          <w:color w:val="1F3864"/>
          <w:sz w:val="22"/>
          <w:szCs w:val="22"/>
        </w:rPr>
        <w:t xml:space="preserve">[   ]   </w:t>
      </w:r>
      <w:r>
        <w:rPr>
          <w:sz w:val="22"/>
          <w:szCs w:val="22"/>
        </w:rPr>
        <w:t>Gestor o empresa de gestión que soportó el coste en su patrimonio y no lo repercutió.</w:t>
      </w:r>
    </w:p>
    <w:p w14:paraId="7F514AE5" w14:textId="77777777" w:rsidR="00495EA2" w:rsidRDefault="00000000">
      <w:pPr>
        <w:spacing w:before="110" w:after="100" w:line="276" w:lineRule="auto"/>
        <w:jc w:val="both"/>
      </w:pPr>
      <w:r>
        <w:rPr>
          <w:sz w:val="22"/>
          <w:szCs w:val="22"/>
        </w:rPr>
        <w:t xml:space="preserve">La unidad se encuentra sita en </w:t>
      </w:r>
      <w:r>
        <w:rPr>
          <w:b/>
          <w:bCs/>
          <w:color w:val="1F3864"/>
          <w:sz w:val="22"/>
          <w:szCs w:val="22"/>
          <w:shd w:val="clear" w:color="auto" w:fill="FFF2CC"/>
        </w:rPr>
        <w:t>[DIRECCIÓN COMPLETA]</w:t>
      </w:r>
      <w:r>
        <w:rPr>
          <w:sz w:val="22"/>
          <w:szCs w:val="22"/>
        </w:rPr>
        <w:t xml:space="preserve">, con referencia catastral </w:t>
      </w:r>
      <w:r>
        <w:rPr>
          <w:b/>
          <w:bCs/>
          <w:color w:val="1F3864"/>
          <w:sz w:val="22"/>
          <w:szCs w:val="22"/>
          <w:shd w:val="clear" w:color="auto" w:fill="FFF2CC"/>
        </w:rPr>
        <w:t>[·]</w:t>
      </w:r>
      <w:r>
        <w:rPr>
          <w:sz w:val="22"/>
          <w:szCs w:val="22"/>
        </w:rPr>
        <w:t xml:space="preserve">, y se destina a </w:t>
      </w:r>
      <w:r>
        <w:rPr>
          <w:b/>
          <w:bCs/>
          <w:color w:val="1F3864"/>
          <w:sz w:val="22"/>
          <w:szCs w:val="22"/>
          <w:shd w:val="clear" w:color="auto" w:fill="FFF2CC"/>
        </w:rPr>
        <w:t>[alquiler de corta duración / arrendamiento de temporada / vivienda de uso turístico]</w:t>
      </w:r>
      <w:r>
        <w:rPr>
          <w:sz w:val="22"/>
          <w:szCs w:val="22"/>
        </w:rPr>
        <w:t>.</w:t>
      </w:r>
    </w:p>
    <w:p w14:paraId="6CB31C8A" w14:textId="77777777" w:rsidR="00495EA2" w:rsidRDefault="00000000">
      <w:pPr>
        <w:keepNext/>
        <w:spacing w:before="150" w:after="40"/>
      </w:pPr>
      <w:r>
        <w:rPr>
          <w:b/>
          <w:bCs/>
          <w:color w:val="767171"/>
          <w:sz w:val="17"/>
          <w:szCs w:val="17"/>
        </w:rPr>
        <w:t>▸ OPCIONAL — sólo si la vivienda ya estaba inscrita en un registro turístico autonómico</w:t>
      </w:r>
    </w:p>
    <w:p w14:paraId="2E5AC2CF" w14:textId="77777777" w:rsidR="00495EA2" w:rsidRDefault="00000000">
      <w:pPr>
        <w:spacing w:after="110" w:line="276" w:lineRule="auto"/>
        <w:jc w:val="both"/>
      </w:pPr>
      <w:r>
        <w:rPr>
          <w:sz w:val="22"/>
          <w:szCs w:val="22"/>
        </w:rPr>
        <w:t xml:space="preserve">Con anterioridad al Real Decreto 1312/2024, la unidad ya figuraba inscrita en el registro autonómico de </w:t>
      </w:r>
      <w:r>
        <w:rPr>
          <w:b/>
          <w:bCs/>
          <w:color w:val="1F3864"/>
          <w:sz w:val="22"/>
          <w:szCs w:val="22"/>
          <w:shd w:val="clear" w:color="auto" w:fill="FFF2CC"/>
        </w:rPr>
        <w:t>[COMUNIDAD AUTÓNOMA]</w:t>
      </w:r>
      <w:r>
        <w:rPr>
          <w:sz w:val="22"/>
          <w:szCs w:val="22"/>
        </w:rPr>
        <w:t xml:space="preserve"> con el número </w:t>
      </w:r>
      <w:r>
        <w:rPr>
          <w:b/>
          <w:bCs/>
          <w:color w:val="1F3864"/>
          <w:sz w:val="22"/>
          <w:szCs w:val="22"/>
          <w:shd w:val="clear" w:color="auto" w:fill="FFF2CC"/>
        </w:rPr>
        <w:t>[·]</w:t>
      </w:r>
      <w:r>
        <w:rPr>
          <w:sz w:val="22"/>
          <w:szCs w:val="22"/>
        </w:rPr>
        <w:t>, de modo que el sistema estatal vino a superponerse a un control administrativo preexistente.</w:t>
      </w:r>
      <w:r>
        <w:rPr>
          <w:rStyle w:val="Refdenotaalpie"/>
        </w:rPr>
        <w:footnoteReference w:id="7"/>
      </w:r>
    </w:p>
    <w:p w14:paraId="6AF04F98" w14:textId="77777777" w:rsidR="00495EA2" w:rsidRDefault="00000000">
      <w:pPr>
        <w:spacing w:after="40" w:line="264" w:lineRule="auto"/>
        <w:ind w:left="700" w:hanging="280"/>
      </w:pPr>
      <w:r>
        <w:rPr>
          <w:b/>
          <w:bCs/>
          <w:color w:val="1F3864"/>
          <w:sz w:val="22"/>
          <w:szCs w:val="22"/>
        </w:rPr>
        <w:t xml:space="preserve">[   ]   </w:t>
      </w:r>
      <w:r>
        <w:rPr>
          <w:sz w:val="22"/>
          <w:szCs w:val="22"/>
        </w:rPr>
        <w:t>El reclamante formula esta reclamación respecto de varias unidades de alojamiento, que se relacionan en el Anexo final de este escrito.</w:t>
      </w:r>
      <w:r>
        <w:rPr>
          <w:rStyle w:val="Refdenotaalpie"/>
        </w:rPr>
        <w:footnoteReference w:id="8"/>
      </w:r>
    </w:p>
    <w:p w14:paraId="202A769A" w14:textId="4AB45E2D" w:rsidR="00495EA2" w:rsidRDefault="00186C55" w:rsidP="00186C55">
      <w:pPr>
        <w:keepNext/>
        <w:pBdr>
          <w:bottom w:val="single" w:sz="24" w:space="1" w:color="5B9BD5" w:themeColor="accent5"/>
        </w:pBdr>
        <w:spacing w:before="220" w:after="110"/>
      </w:pPr>
      <w:r>
        <w:rPr>
          <w:b/>
          <w:bCs/>
          <w:sz w:val="22"/>
          <w:szCs w:val="22"/>
        </w:rPr>
        <w:lastRenderedPageBreak/>
        <w:t>SEGUNDO. —</w:t>
      </w:r>
      <w:r w:rsidR="00000000">
        <w:rPr>
          <w:b/>
          <w:bCs/>
          <w:sz w:val="22"/>
          <w:szCs w:val="22"/>
        </w:rPr>
        <w:t xml:space="preserve"> Obtención del NRUA.</w:t>
      </w:r>
    </w:p>
    <w:p w14:paraId="1814B981" w14:textId="77777777" w:rsidR="00495EA2" w:rsidRDefault="00000000">
      <w:pPr>
        <w:spacing w:after="120" w:line="276" w:lineRule="auto"/>
        <w:jc w:val="both"/>
      </w:pPr>
      <w:r>
        <w:rPr>
          <w:sz w:val="22"/>
          <w:szCs w:val="22"/>
        </w:rPr>
        <w:t xml:space="preserve">En cumplimiento del procedimiento de registro único de arrendamientos regulado en los artículos 8 a 10 del Real Decreto 1312/2024, de 23 de diciembre, el reclamante presentó solicitud con fecha </w:t>
      </w:r>
      <w:r>
        <w:rPr>
          <w:b/>
          <w:bCs/>
          <w:color w:val="1F3864"/>
          <w:sz w:val="22"/>
          <w:szCs w:val="22"/>
          <w:shd w:val="clear" w:color="auto" w:fill="FFF2CC"/>
        </w:rPr>
        <w:t>[·]</w:t>
      </w:r>
      <w:r>
        <w:rPr>
          <w:sz w:val="22"/>
          <w:szCs w:val="22"/>
        </w:rPr>
        <w:t xml:space="preserve"> ante el Registro de la Propiedad núm. </w:t>
      </w:r>
      <w:r>
        <w:rPr>
          <w:b/>
          <w:bCs/>
          <w:color w:val="1F3864"/>
          <w:sz w:val="22"/>
          <w:szCs w:val="22"/>
          <w:shd w:val="clear" w:color="auto" w:fill="FFF2CC"/>
        </w:rPr>
        <w:t>[·]</w:t>
      </w:r>
      <w:r>
        <w:rPr>
          <w:sz w:val="22"/>
          <w:szCs w:val="22"/>
        </w:rPr>
        <w:t xml:space="preserve"> de </w:t>
      </w:r>
      <w:r>
        <w:rPr>
          <w:b/>
          <w:bCs/>
          <w:color w:val="1F3864"/>
          <w:sz w:val="22"/>
          <w:szCs w:val="22"/>
          <w:shd w:val="clear" w:color="auto" w:fill="FFF2CC"/>
        </w:rPr>
        <w:t>[·]</w:t>
      </w:r>
      <w:r>
        <w:rPr>
          <w:rStyle w:val="Refdenotaalpie"/>
        </w:rPr>
        <w:footnoteReference w:id="9"/>
      </w:r>
      <w:r>
        <w:rPr>
          <w:sz w:val="22"/>
          <w:szCs w:val="22"/>
        </w:rPr>
        <w:t xml:space="preserve">, habiéndosele asignado con fecha </w:t>
      </w:r>
      <w:r>
        <w:rPr>
          <w:b/>
          <w:bCs/>
          <w:color w:val="1F3864"/>
          <w:sz w:val="22"/>
          <w:szCs w:val="22"/>
          <w:shd w:val="clear" w:color="auto" w:fill="FFF2CC"/>
        </w:rPr>
        <w:t>[·]</w:t>
      </w:r>
      <w:r>
        <w:rPr>
          <w:sz w:val="22"/>
          <w:szCs w:val="22"/>
        </w:rPr>
        <w:t xml:space="preserve"> el número de registro único </w:t>
      </w:r>
      <w:r>
        <w:rPr>
          <w:b/>
          <w:bCs/>
          <w:color w:val="1F3864"/>
          <w:sz w:val="22"/>
          <w:szCs w:val="22"/>
          <w:shd w:val="clear" w:color="auto" w:fill="FFF2CC"/>
        </w:rPr>
        <w:t>[NRUA]</w:t>
      </w:r>
      <w:r>
        <w:rPr>
          <w:sz w:val="22"/>
          <w:szCs w:val="22"/>
        </w:rPr>
        <w:t>.</w:t>
      </w:r>
    </w:p>
    <w:p w14:paraId="6E1D4F3F" w14:textId="77777777" w:rsidR="00495EA2" w:rsidRDefault="00000000">
      <w:pPr>
        <w:spacing w:after="120" w:line="276" w:lineRule="auto"/>
        <w:jc w:val="both"/>
      </w:pPr>
      <w:r>
        <w:rPr>
          <w:sz w:val="22"/>
          <w:szCs w:val="22"/>
        </w:rPr>
        <w:t>Dicha solicitud no obedeció a una decisión libre y prescindible. El artículo 5.a) del Real Decreto imponía a las personas arrendadoras la obligación de obtener previamente el número de registro para poder ofrecer sus servicios a través de las plataformas en línea, y el artículo 6.b) obligaba a éstas a impedir la publicación de anuncios que no lo incorporasen. La obtención del NRUA operaba, por tanto, como presupuesto habilitante de acceso al mercado.</w:t>
      </w:r>
    </w:p>
    <w:p w14:paraId="7576055E" w14:textId="52F15D25" w:rsidR="00495EA2" w:rsidRDefault="00186C55" w:rsidP="00186C55">
      <w:pPr>
        <w:keepNext/>
        <w:pBdr>
          <w:bottom w:val="single" w:sz="24" w:space="1" w:color="5B9BD5" w:themeColor="accent5"/>
        </w:pBdr>
        <w:spacing w:before="220" w:after="110"/>
      </w:pPr>
      <w:r>
        <w:rPr>
          <w:b/>
          <w:bCs/>
          <w:sz w:val="22"/>
          <w:szCs w:val="22"/>
        </w:rPr>
        <w:t>TERCERO. —</w:t>
      </w:r>
      <w:r w:rsidR="00000000">
        <w:rPr>
          <w:b/>
          <w:bCs/>
          <w:sz w:val="22"/>
          <w:szCs w:val="22"/>
        </w:rPr>
        <w:t xml:space="preserve"> Depósito anual del modelo informativo de arrendamientos: condición de continuidad del NRUA.</w:t>
      </w:r>
      <w:r w:rsidR="00000000">
        <w:rPr>
          <w:rStyle w:val="Refdenotaalpie"/>
        </w:rPr>
        <w:footnoteReference w:id="10"/>
      </w:r>
    </w:p>
    <w:p w14:paraId="4BB8CD20" w14:textId="77777777" w:rsidR="00495EA2" w:rsidRDefault="00000000">
      <w:pPr>
        <w:spacing w:after="120" w:line="276" w:lineRule="auto"/>
        <w:jc w:val="both"/>
      </w:pPr>
      <w:r>
        <w:rPr>
          <w:sz w:val="22"/>
          <w:szCs w:val="22"/>
        </w:rPr>
        <w:t>El sistema estatal no agotaba su carga económica en la obtención inicial del número. El artículo 10.4 del Real Decreto 1312/2024 establecía que «cada doce meses deberá aportarse el modelo informativo de arrendamientos de corta duración (…) y que recogerá, al menos, un listado anonimizado de los arrendamientos constituidos, así como la identificación de una de las finalidades descritas en el artículo 4.2.a) y que haya justificado el tipo de arrendamiento».</w:t>
      </w:r>
    </w:p>
    <w:p w14:paraId="0BA226B6" w14:textId="77777777" w:rsidR="00495EA2" w:rsidRDefault="00000000">
      <w:pPr>
        <w:spacing w:after="120" w:line="276" w:lineRule="auto"/>
        <w:jc w:val="both"/>
      </w:pPr>
      <w:r>
        <w:rPr>
          <w:sz w:val="22"/>
          <w:szCs w:val="22"/>
        </w:rPr>
        <w:t>Se trataba de una obligación periódica cuyo incumplimiento no era inocuo: conforme al artículo 10.5, determinaba la retirada del número de registro, la cancelación de la nota marginal y la orden a las plataformas en línea de eliminar o inhabilitar los anuncios asociados. El depósito anual era, en consecuencia, la condición de continuidad del NRUA y, con él, de la propia continuidad de la comercialización del alojamiento.</w:t>
      </w:r>
    </w:p>
    <w:p w14:paraId="66B3BEAD" w14:textId="77777777" w:rsidR="00495EA2" w:rsidRDefault="00000000">
      <w:pPr>
        <w:spacing w:after="120" w:line="276" w:lineRule="auto"/>
        <w:jc w:val="both"/>
      </w:pPr>
      <w:r>
        <w:rPr>
          <w:sz w:val="22"/>
          <w:szCs w:val="22"/>
        </w:rPr>
        <w:t xml:space="preserve">En cumplimiento de dicha previsión, el reclamante presentó el depósito o aportación del modelo informativo con fecha </w:t>
      </w:r>
      <w:r>
        <w:rPr>
          <w:b/>
          <w:bCs/>
          <w:color w:val="1F3864"/>
          <w:sz w:val="22"/>
          <w:szCs w:val="22"/>
          <w:shd w:val="clear" w:color="auto" w:fill="FFF2CC"/>
        </w:rPr>
        <w:t>[·]</w:t>
      </w:r>
      <w:r>
        <w:rPr>
          <w:sz w:val="22"/>
          <w:szCs w:val="22"/>
        </w:rPr>
        <w:t xml:space="preserve"> </w:t>
      </w:r>
      <w:r>
        <w:rPr>
          <w:b/>
          <w:bCs/>
          <w:color w:val="1F3864"/>
          <w:sz w:val="22"/>
          <w:szCs w:val="22"/>
          <w:shd w:val="clear" w:color="auto" w:fill="FFF2CC"/>
        </w:rPr>
        <w:t>[y, en su caso, con fecha ·]</w:t>
      </w:r>
      <w:r>
        <w:rPr>
          <w:sz w:val="22"/>
          <w:szCs w:val="22"/>
        </w:rPr>
        <w:t>, ante el mismo Registro, con el consiguiente devengo de honorarios y gastos que se detallan en el hecho quinto.</w:t>
      </w:r>
    </w:p>
    <w:p w14:paraId="18A6D348" w14:textId="77777777" w:rsidR="00495EA2" w:rsidRDefault="00000000">
      <w:pPr>
        <w:keepNext/>
        <w:spacing w:before="150" w:after="40"/>
      </w:pPr>
      <w:r>
        <w:rPr>
          <w:b/>
          <w:bCs/>
          <w:color w:val="767171"/>
          <w:sz w:val="17"/>
          <w:szCs w:val="17"/>
        </w:rPr>
        <w:t>▸ OPCIONAL — sólo si además hubo modificaciones de datos o subsanaciones</w:t>
      </w:r>
    </w:p>
    <w:p w14:paraId="5304423A" w14:textId="4BCA1260" w:rsidR="00495EA2" w:rsidRDefault="00186C55" w:rsidP="00186C55">
      <w:pPr>
        <w:keepNext/>
        <w:pBdr>
          <w:bottom w:val="single" w:sz="24" w:space="1" w:color="5B9BD5" w:themeColor="accent5"/>
        </w:pBdr>
        <w:spacing w:before="220" w:after="110"/>
      </w:pPr>
      <w:r>
        <w:rPr>
          <w:b/>
          <w:bCs/>
          <w:sz w:val="22"/>
          <w:szCs w:val="22"/>
        </w:rPr>
        <w:t>CUARTO. —</w:t>
      </w:r>
      <w:r w:rsidR="00000000">
        <w:rPr>
          <w:b/>
          <w:bCs/>
          <w:sz w:val="22"/>
          <w:szCs w:val="22"/>
        </w:rPr>
        <w:t xml:space="preserve"> Actualizaciones, modificaciones y subsanaciones.</w:t>
      </w:r>
    </w:p>
    <w:p w14:paraId="656D9970" w14:textId="77777777" w:rsidR="00495EA2" w:rsidRDefault="00000000">
      <w:pPr>
        <w:spacing w:after="120" w:line="276" w:lineRule="auto"/>
        <w:jc w:val="both"/>
      </w:pPr>
      <w:r>
        <w:rPr>
          <w:sz w:val="22"/>
          <w:szCs w:val="22"/>
        </w:rPr>
        <w:t xml:space="preserve">Al amparo de los artículos 5.d) y 9.4 del Real Decreto, y de la subsanación de defectos prevista en su artículo 10.2, el reclamante hubo de soportar además </w:t>
      </w:r>
      <w:r>
        <w:rPr>
          <w:b/>
          <w:bCs/>
          <w:color w:val="1F3864"/>
          <w:sz w:val="22"/>
          <w:szCs w:val="22"/>
          <w:shd w:val="clear" w:color="auto" w:fill="FFF2CC"/>
        </w:rPr>
        <w:t>[una / varias]</w:t>
      </w:r>
      <w:r>
        <w:rPr>
          <w:sz w:val="22"/>
          <w:szCs w:val="22"/>
        </w:rPr>
        <w:t xml:space="preserve"> actuaciones de </w:t>
      </w:r>
      <w:r>
        <w:rPr>
          <w:b/>
          <w:bCs/>
          <w:color w:val="1F3864"/>
          <w:sz w:val="22"/>
          <w:szCs w:val="22"/>
          <w:shd w:val="clear" w:color="auto" w:fill="FFF2CC"/>
        </w:rPr>
        <w:t>[actualización de datos / modificación de las condiciones de la unidad / subsanación de defectos advertidos en la calificación registral]</w:t>
      </w:r>
      <w:r>
        <w:rPr>
          <w:sz w:val="22"/>
          <w:szCs w:val="22"/>
        </w:rPr>
        <w:t xml:space="preserve">, practicadas con fecha </w:t>
      </w:r>
      <w:r>
        <w:rPr>
          <w:b/>
          <w:bCs/>
          <w:color w:val="1F3864"/>
          <w:sz w:val="22"/>
          <w:szCs w:val="22"/>
          <w:shd w:val="clear" w:color="auto" w:fill="FFF2CC"/>
        </w:rPr>
        <w:t>[·]</w:t>
      </w:r>
      <w:r>
        <w:rPr>
          <w:sz w:val="22"/>
          <w:szCs w:val="22"/>
        </w:rPr>
        <w:t>, con nuevo devengo de honorarios.</w:t>
      </w:r>
      <w:r>
        <w:rPr>
          <w:rStyle w:val="Refdenotaalpie"/>
        </w:rPr>
        <w:footnoteReference w:id="11"/>
      </w:r>
    </w:p>
    <w:p w14:paraId="38A44CE2" w14:textId="2141A321" w:rsidR="00495EA2" w:rsidRDefault="00186C55" w:rsidP="00186C55">
      <w:pPr>
        <w:keepNext/>
        <w:pBdr>
          <w:bottom w:val="single" w:sz="24" w:space="1" w:color="5B9BD5" w:themeColor="accent5"/>
        </w:pBdr>
        <w:spacing w:before="220" w:after="110"/>
      </w:pPr>
      <w:r>
        <w:rPr>
          <w:b/>
          <w:bCs/>
          <w:sz w:val="22"/>
          <w:szCs w:val="22"/>
        </w:rPr>
        <w:lastRenderedPageBreak/>
        <w:t>QUINTO. —</w:t>
      </w:r>
      <w:r w:rsidR="00000000">
        <w:rPr>
          <w:b/>
          <w:bCs/>
          <w:sz w:val="22"/>
          <w:szCs w:val="22"/>
        </w:rPr>
        <w:t xml:space="preserve"> Gastos efectivamente soportados y su cuantificación.</w:t>
      </w:r>
    </w:p>
    <w:p w14:paraId="122642DC" w14:textId="77777777" w:rsidR="00495EA2" w:rsidRDefault="00000000">
      <w:pPr>
        <w:spacing w:after="120" w:line="276" w:lineRule="auto"/>
        <w:jc w:val="both"/>
      </w:pPr>
      <w:r>
        <w:rPr>
          <w:sz w:val="22"/>
          <w:szCs w:val="22"/>
        </w:rPr>
        <w:t>Los desembolsos cuya indemnización se reclama, todos ellos efectivamente satisfechos y acreditados mediante las facturas, minutas y justificantes bancarios que se acompañan, son exclusivamente los siguientes</w:t>
      </w:r>
      <w:r>
        <w:rPr>
          <w:rStyle w:val="Refdenotaalpie"/>
        </w:rPr>
        <w:footnoteReference w:id="12"/>
      </w:r>
      <w:r>
        <w:rPr>
          <w:sz w:val="22"/>
          <w:szCs w:val="22"/>
        </w:rPr>
        <w:t>:</w:t>
      </w:r>
    </w:p>
    <w:tbl>
      <w:tblPr>
        <w:tblW w:w="9070" w:type="dxa"/>
        <w:tblBorders>
          <w:top w:val="single" w:sz="6" w:space="0" w:color="666666"/>
          <w:left w:val="single" w:sz="6" w:space="0" w:color="666666"/>
          <w:bottom w:val="single" w:sz="6" w:space="0" w:color="666666"/>
          <w:right w:val="single" w:sz="6" w:space="0" w:color="666666"/>
          <w:insideH w:val="single" w:sz="4" w:space="0" w:color="AAAAAA"/>
          <w:insideV w:val="single" w:sz="4" w:space="0" w:color="AAAAAA"/>
        </w:tblBorders>
        <w:tblCellMar>
          <w:left w:w="10" w:type="dxa"/>
          <w:right w:w="10" w:type="dxa"/>
        </w:tblCellMar>
        <w:tblLook w:val="04A0" w:firstRow="1" w:lastRow="0" w:firstColumn="1" w:lastColumn="0" w:noHBand="0" w:noVBand="1"/>
      </w:tblPr>
      <w:tblGrid>
        <w:gridCol w:w="560"/>
        <w:gridCol w:w="4000"/>
        <w:gridCol w:w="1050"/>
        <w:gridCol w:w="1900"/>
        <w:gridCol w:w="1560"/>
      </w:tblGrid>
      <w:tr w:rsidR="00495EA2" w14:paraId="213823B7" w14:textId="77777777">
        <w:trPr>
          <w:tblHeader/>
        </w:trPr>
        <w:tc>
          <w:tcPr>
            <w:tcW w:w="560" w:type="dxa"/>
            <w:shd w:val="clear" w:color="auto" w:fill="DEE9F2"/>
            <w:tcMar>
              <w:top w:w="60" w:type="dxa"/>
              <w:left w:w="90" w:type="dxa"/>
              <w:bottom w:w="60" w:type="dxa"/>
              <w:right w:w="90" w:type="dxa"/>
            </w:tcMar>
            <w:vAlign w:val="center"/>
          </w:tcPr>
          <w:p w14:paraId="60DFB3B5" w14:textId="77777777" w:rsidR="00495EA2" w:rsidRDefault="00000000">
            <w:pPr>
              <w:jc w:val="center"/>
            </w:pPr>
            <w:r>
              <w:rPr>
                <w:b/>
                <w:bCs/>
                <w:sz w:val="19"/>
                <w:szCs w:val="19"/>
              </w:rPr>
              <w:t>Nº</w:t>
            </w:r>
          </w:p>
        </w:tc>
        <w:tc>
          <w:tcPr>
            <w:tcW w:w="4000" w:type="dxa"/>
            <w:shd w:val="clear" w:color="auto" w:fill="DEE9F2"/>
            <w:tcMar>
              <w:top w:w="60" w:type="dxa"/>
              <w:left w:w="90" w:type="dxa"/>
              <w:bottom w:w="60" w:type="dxa"/>
              <w:right w:w="90" w:type="dxa"/>
            </w:tcMar>
            <w:vAlign w:val="center"/>
          </w:tcPr>
          <w:p w14:paraId="00FE1308" w14:textId="77777777" w:rsidR="00495EA2" w:rsidRDefault="00000000">
            <w:r>
              <w:rPr>
                <w:b/>
                <w:bCs/>
                <w:sz w:val="19"/>
                <w:szCs w:val="19"/>
              </w:rPr>
              <w:t>Concepto</w:t>
            </w:r>
          </w:p>
        </w:tc>
        <w:tc>
          <w:tcPr>
            <w:tcW w:w="1050" w:type="dxa"/>
            <w:shd w:val="clear" w:color="auto" w:fill="DEE9F2"/>
            <w:tcMar>
              <w:top w:w="60" w:type="dxa"/>
              <w:left w:w="90" w:type="dxa"/>
              <w:bottom w:w="60" w:type="dxa"/>
              <w:right w:w="90" w:type="dxa"/>
            </w:tcMar>
            <w:vAlign w:val="center"/>
          </w:tcPr>
          <w:p w14:paraId="2E2CB914" w14:textId="77777777" w:rsidR="00495EA2" w:rsidRDefault="00000000">
            <w:r>
              <w:rPr>
                <w:b/>
                <w:bCs/>
                <w:sz w:val="19"/>
                <w:szCs w:val="19"/>
              </w:rPr>
              <w:t>Fecha de pago</w:t>
            </w:r>
          </w:p>
        </w:tc>
        <w:tc>
          <w:tcPr>
            <w:tcW w:w="1900" w:type="dxa"/>
            <w:shd w:val="clear" w:color="auto" w:fill="DEE9F2"/>
            <w:tcMar>
              <w:top w:w="60" w:type="dxa"/>
              <w:left w:w="90" w:type="dxa"/>
              <w:bottom w:w="60" w:type="dxa"/>
              <w:right w:w="90" w:type="dxa"/>
            </w:tcMar>
            <w:vAlign w:val="center"/>
          </w:tcPr>
          <w:p w14:paraId="04C4FD53" w14:textId="77777777" w:rsidR="00495EA2" w:rsidRDefault="00000000">
            <w:r>
              <w:rPr>
                <w:b/>
                <w:bCs/>
                <w:sz w:val="19"/>
                <w:szCs w:val="19"/>
              </w:rPr>
              <w:t>Justificante</w:t>
            </w:r>
          </w:p>
        </w:tc>
        <w:tc>
          <w:tcPr>
            <w:tcW w:w="1560" w:type="dxa"/>
            <w:shd w:val="clear" w:color="auto" w:fill="DEE9F2"/>
            <w:tcMar>
              <w:top w:w="60" w:type="dxa"/>
              <w:left w:w="90" w:type="dxa"/>
              <w:bottom w:w="60" w:type="dxa"/>
              <w:right w:w="90" w:type="dxa"/>
            </w:tcMar>
            <w:vAlign w:val="center"/>
          </w:tcPr>
          <w:p w14:paraId="14371BF4" w14:textId="77777777" w:rsidR="00495EA2" w:rsidRDefault="00000000">
            <w:pPr>
              <w:jc w:val="right"/>
            </w:pPr>
            <w:r>
              <w:rPr>
                <w:b/>
                <w:bCs/>
                <w:sz w:val="19"/>
                <w:szCs w:val="19"/>
              </w:rPr>
              <w:t>Importe (€)</w:t>
            </w:r>
          </w:p>
        </w:tc>
      </w:tr>
      <w:tr w:rsidR="00495EA2" w14:paraId="0D5084DD" w14:textId="77777777">
        <w:tc>
          <w:tcPr>
            <w:tcW w:w="560" w:type="dxa"/>
            <w:tcMar>
              <w:top w:w="60" w:type="dxa"/>
              <w:left w:w="90" w:type="dxa"/>
              <w:bottom w:w="60" w:type="dxa"/>
              <w:right w:w="90" w:type="dxa"/>
            </w:tcMar>
            <w:vAlign w:val="center"/>
          </w:tcPr>
          <w:p w14:paraId="01BEEAEE" w14:textId="77777777" w:rsidR="00495EA2" w:rsidRDefault="00000000">
            <w:pPr>
              <w:jc w:val="center"/>
            </w:pPr>
            <w:r>
              <w:rPr>
                <w:sz w:val="19"/>
                <w:szCs w:val="19"/>
              </w:rPr>
              <w:t>1</w:t>
            </w:r>
          </w:p>
        </w:tc>
        <w:tc>
          <w:tcPr>
            <w:tcW w:w="4000" w:type="dxa"/>
            <w:tcMar>
              <w:top w:w="60" w:type="dxa"/>
              <w:left w:w="90" w:type="dxa"/>
              <w:bottom w:w="60" w:type="dxa"/>
              <w:right w:w="90" w:type="dxa"/>
            </w:tcMar>
            <w:vAlign w:val="center"/>
          </w:tcPr>
          <w:p w14:paraId="14475437" w14:textId="77777777" w:rsidR="00495EA2" w:rsidRDefault="00000000">
            <w:r>
              <w:rPr>
                <w:sz w:val="19"/>
                <w:szCs w:val="19"/>
              </w:rPr>
              <w:t xml:space="preserve">Arancel u honorarios registrales por la obtención del NRUA </w:t>
            </w:r>
            <w:r>
              <w:rPr>
                <w:i/>
                <w:iCs/>
                <w:color w:val="767171"/>
                <w:sz w:val="16"/>
                <w:szCs w:val="16"/>
              </w:rPr>
              <w:t>(art. 9 RD 1312/2024, anulado)</w:t>
            </w:r>
          </w:p>
        </w:tc>
        <w:tc>
          <w:tcPr>
            <w:tcW w:w="1050" w:type="dxa"/>
            <w:shd w:val="clear" w:color="auto" w:fill="FFF2CC"/>
            <w:tcMar>
              <w:top w:w="60" w:type="dxa"/>
              <w:left w:w="90" w:type="dxa"/>
              <w:bottom w:w="60" w:type="dxa"/>
              <w:right w:w="90" w:type="dxa"/>
            </w:tcMar>
            <w:vAlign w:val="center"/>
          </w:tcPr>
          <w:p w14:paraId="0F76701B" w14:textId="77777777" w:rsidR="00495EA2" w:rsidRDefault="00495EA2"/>
        </w:tc>
        <w:tc>
          <w:tcPr>
            <w:tcW w:w="1900" w:type="dxa"/>
            <w:shd w:val="clear" w:color="auto" w:fill="FFF2CC"/>
            <w:tcMar>
              <w:top w:w="60" w:type="dxa"/>
              <w:left w:w="90" w:type="dxa"/>
              <w:bottom w:w="60" w:type="dxa"/>
              <w:right w:w="90" w:type="dxa"/>
            </w:tcMar>
            <w:vAlign w:val="center"/>
          </w:tcPr>
          <w:p w14:paraId="4DB76B6D" w14:textId="77777777" w:rsidR="00495EA2" w:rsidRDefault="00495EA2"/>
        </w:tc>
        <w:tc>
          <w:tcPr>
            <w:tcW w:w="1560" w:type="dxa"/>
            <w:shd w:val="clear" w:color="auto" w:fill="FFF2CC"/>
            <w:tcMar>
              <w:top w:w="60" w:type="dxa"/>
              <w:left w:w="90" w:type="dxa"/>
              <w:bottom w:w="60" w:type="dxa"/>
              <w:right w:w="90" w:type="dxa"/>
            </w:tcMar>
            <w:vAlign w:val="center"/>
          </w:tcPr>
          <w:p w14:paraId="10A10BDB" w14:textId="77777777" w:rsidR="00495EA2" w:rsidRDefault="00495EA2">
            <w:pPr>
              <w:jc w:val="right"/>
            </w:pPr>
          </w:p>
        </w:tc>
      </w:tr>
      <w:tr w:rsidR="00495EA2" w14:paraId="72887ED2" w14:textId="77777777">
        <w:tc>
          <w:tcPr>
            <w:tcW w:w="560" w:type="dxa"/>
            <w:tcMar>
              <w:top w:w="60" w:type="dxa"/>
              <w:left w:w="90" w:type="dxa"/>
              <w:bottom w:w="60" w:type="dxa"/>
              <w:right w:w="90" w:type="dxa"/>
            </w:tcMar>
            <w:vAlign w:val="center"/>
          </w:tcPr>
          <w:p w14:paraId="6505BD84" w14:textId="77777777" w:rsidR="00495EA2" w:rsidRDefault="00000000">
            <w:pPr>
              <w:jc w:val="center"/>
            </w:pPr>
            <w:r>
              <w:rPr>
                <w:sz w:val="19"/>
                <w:szCs w:val="19"/>
              </w:rPr>
              <w:t>2</w:t>
            </w:r>
          </w:p>
        </w:tc>
        <w:tc>
          <w:tcPr>
            <w:tcW w:w="4000" w:type="dxa"/>
            <w:tcMar>
              <w:top w:w="60" w:type="dxa"/>
              <w:left w:w="90" w:type="dxa"/>
              <w:bottom w:w="60" w:type="dxa"/>
              <w:right w:w="90" w:type="dxa"/>
            </w:tcMar>
            <w:vAlign w:val="center"/>
          </w:tcPr>
          <w:p w14:paraId="284469BD" w14:textId="77777777" w:rsidR="00495EA2" w:rsidRDefault="00000000">
            <w:r>
              <w:rPr>
                <w:sz w:val="19"/>
                <w:szCs w:val="19"/>
              </w:rPr>
              <w:t xml:space="preserve">Arancel u honorarios registrales por el depósito anual del modelo informativo de arrendamientos, exigido para la continuidad del NRUA </w:t>
            </w:r>
            <w:r>
              <w:rPr>
                <w:i/>
                <w:iCs/>
                <w:color w:val="767171"/>
                <w:sz w:val="16"/>
                <w:szCs w:val="16"/>
              </w:rPr>
              <w:t>(art. 10.4, anulado)</w:t>
            </w:r>
          </w:p>
        </w:tc>
        <w:tc>
          <w:tcPr>
            <w:tcW w:w="1050" w:type="dxa"/>
            <w:shd w:val="clear" w:color="auto" w:fill="FFF2CC"/>
            <w:tcMar>
              <w:top w:w="60" w:type="dxa"/>
              <w:left w:w="90" w:type="dxa"/>
              <w:bottom w:w="60" w:type="dxa"/>
              <w:right w:w="90" w:type="dxa"/>
            </w:tcMar>
            <w:vAlign w:val="center"/>
          </w:tcPr>
          <w:p w14:paraId="63994A01" w14:textId="77777777" w:rsidR="00495EA2" w:rsidRDefault="00495EA2"/>
        </w:tc>
        <w:tc>
          <w:tcPr>
            <w:tcW w:w="1900" w:type="dxa"/>
            <w:shd w:val="clear" w:color="auto" w:fill="FFF2CC"/>
            <w:tcMar>
              <w:top w:w="60" w:type="dxa"/>
              <w:left w:w="90" w:type="dxa"/>
              <w:bottom w:w="60" w:type="dxa"/>
              <w:right w:w="90" w:type="dxa"/>
            </w:tcMar>
            <w:vAlign w:val="center"/>
          </w:tcPr>
          <w:p w14:paraId="0AB8FA1C" w14:textId="77777777" w:rsidR="00495EA2" w:rsidRDefault="00495EA2"/>
        </w:tc>
        <w:tc>
          <w:tcPr>
            <w:tcW w:w="1560" w:type="dxa"/>
            <w:shd w:val="clear" w:color="auto" w:fill="FFF2CC"/>
            <w:tcMar>
              <w:top w:w="60" w:type="dxa"/>
              <w:left w:w="90" w:type="dxa"/>
              <w:bottom w:w="60" w:type="dxa"/>
              <w:right w:w="90" w:type="dxa"/>
            </w:tcMar>
            <w:vAlign w:val="center"/>
          </w:tcPr>
          <w:p w14:paraId="755FAD4E" w14:textId="77777777" w:rsidR="00495EA2" w:rsidRDefault="00495EA2">
            <w:pPr>
              <w:jc w:val="right"/>
            </w:pPr>
          </w:p>
        </w:tc>
      </w:tr>
      <w:tr w:rsidR="00495EA2" w14:paraId="00F06836" w14:textId="77777777">
        <w:tc>
          <w:tcPr>
            <w:tcW w:w="560" w:type="dxa"/>
            <w:tcMar>
              <w:top w:w="60" w:type="dxa"/>
              <w:left w:w="90" w:type="dxa"/>
              <w:bottom w:w="60" w:type="dxa"/>
              <w:right w:w="90" w:type="dxa"/>
            </w:tcMar>
            <w:vAlign w:val="center"/>
          </w:tcPr>
          <w:p w14:paraId="7976374C" w14:textId="77777777" w:rsidR="00495EA2" w:rsidRDefault="00000000">
            <w:pPr>
              <w:jc w:val="center"/>
            </w:pPr>
            <w:r>
              <w:rPr>
                <w:sz w:val="19"/>
                <w:szCs w:val="19"/>
              </w:rPr>
              <w:t>3</w:t>
            </w:r>
          </w:p>
        </w:tc>
        <w:tc>
          <w:tcPr>
            <w:tcW w:w="4000" w:type="dxa"/>
            <w:tcMar>
              <w:top w:w="60" w:type="dxa"/>
              <w:left w:w="90" w:type="dxa"/>
              <w:bottom w:w="60" w:type="dxa"/>
              <w:right w:w="90" w:type="dxa"/>
            </w:tcMar>
            <w:vAlign w:val="center"/>
          </w:tcPr>
          <w:p w14:paraId="473445EF" w14:textId="77777777" w:rsidR="00495EA2" w:rsidRDefault="00000000">
            <w:r>
              <w:rPr>
                <w:sz w:val="19"/>
                <w:szCs w:val="19"/>
              </w:rPr>
              <w:t xml:space="preserve">Arancel u honorarios registrales por actualización, modificación o subsanación de datos </w:t>
            </w:r>
            <w:r>
              <w:rPr>
                <w:i/>
                <w:iCs/>
                <w:color w:val="767171"/>
                <w:sz w:val="16"/>
                <w:szCs w:val="16"/>
              </w:rPr>
              <w:t>(arts. 5.d, 9.4 y 10.2, anulados)</w:t>
            </w:r>
          </w:p>
        </w:tc>
        <w:tc>
          <w:tcPr>
            <w:tcW w:w="1050" w:type="dxa"/>
            <w:shd w:val="clear" w:color="auto" w:fill="FFF2CC"/>
            <w:tcMar>
              <w:top w:w="60" w:type="dxa"/>
              <w:left w:w="90" w:type="dxa"/>
              <w:bottom w:w="60" w:type="dxa"/>
              <w:right w:w="90" w:type="dxa"/>
            </w:tcMar>
            <w:vAlign w:val="center"/>
          </w:tcPr>
          <w:p w14:paraId="3B6BCE3F" w14:textId="77777777" w:rsidR="00495EA2" w:rsidRDefault="00495EA2"/>
        </w:tc>
        <w:tc>
          <w:tcPr>
            <w:tcW w:w="1900" w:type="dxa"/>
            <w:shd w:val="clear" w:color="auto" w:fill="FFF2CC"/>
            <w:tcMar>
              <w:top w:w="60" w:type="dxa"/>
              <w:left w:w="90" w:type="dxa"/>
              <w:bottom w:w="60" w:type="dxa"/>
              <w:right w:w="90" w:type="dxa"/>
            </w:tcMar>
            <w:vAlign w:val="center"/>
          </w:tcPr>
          <w:p w14:paraId="31D41A5C" w14:textId="77777777" w:rsidR="00495EA2" w:rsidRDefault="00495EA2"/>
        </w:tc>
        <w:tc>
          <w:tcPr>
            <w:tcW w:w="1560" w:type="dxa"/>
            <w:shd w:val="clear" w:color="auto" w:fill="FFF2CC"/>
            <w:tcMar>
              <w:top w:w="60" w:type="dxa"/>
              <w:left w:w="90" w:type="dxa"/>
              <w:bottom w:w="60" w:type="dxa"/>
              <w:right w:w="90" w:type="dxa"/>
            </w:tcMar>
            <w:vAlign w:val="center"/>
          </w:tcPr>
          <w:p w14:paraId="3103FC3C" w14:textId="77777777" w:rsidR="00495EA2" w:rsidRDefault="00495EA2">
            <w:pPr>
              <w:jc w:val="right"/>
            </w:pPr>
          </w:p>
        </w:tc>
      </w:tr>
      <w:tr w:rsidR="00495EA2" w14:paraId="014748A9" w14:textId="77777777">
        <w:tc>
          <w:tcPr>
            <w:tcW w:w="560" w:type="dxa"/>
            <w:tcMar>
              <w:top w:w="60" w:type="dxa"/>
              <w:left w:w="90" w:type="dxa"/>
              <w:bottom w:w="60" w:type="dxa"/>
              <w:right w:w="90" w:type="dxa"/>
            </w:tcMar>
            <w:vAlign w:val="center"/>
          </w:tcPr>
          <w:p w14:paraId="21DA8E00" w14:textId="77777777" w:rsidR="00495EA2" w:rsidRDefault="00000000">
            <w:pPr>
              <w:jc w:val="center"/>
            </w:pPr>
            <w:r>
              <w:rPr>
                <w:sz w:val="19"/>
                <w:szCs w:val="19"/>
              </w:rPr>
              <w:t>4</w:t>
            </w:r>
          </w:p>
        </w:tc>
        <w:tc>
          <w:tcPr>
            <w:tcW w:w="4000" w:type="dxa"/>
            <w:tcMar>
              <w:top w:w="60" w:type="dxa"/>
              <w:left w:w="90" w:type="dxa"/>
              <w:bottom w:w="60" w:type="dxa"/>
              <w:right w:w="90" w:type="dxa"/>
            </w:tcMar>
            <w:vAlign w:val="center"/>
          </w:tcPr>
          <w:p w14:paraId="58865A2F" w14:textId="77777777" w:rsidR="00495EA2" w:rsidRDefault="00000000">
            <w:r>
              <w:rPr>
                <w:sz w:val="19"/>
                <w:szCs w:val="19"/>
              </w:rPr>
              <w:t>Publicidad formal registral solicitada para la tramitación (nota simple, certificación)</w:t>
            </w:r>
          </w:p>
        </w:tc>
        <w:tc>
          <w:tcPr>
            <w:tcW w:w="1050" w:type="dxa"/>
            <w:shd w:val="clear" w:color="auto" w:fill="FFF2CC"/>
            <w:tcMar>
              <w:top w:w="60" w:type="dxa"/>
              <w:left w:w="90" w:type="dxa"/>
              <w:bottom w:w="60" w:type="dxa"/>
              <w:right w:w="90" w:type="dxa"/>
            </w:tcMar>
            <w:vAlign w:val="center"/>
          </w:tcPr>
          <w:p w14:paraId="353EADA8" w14:textId="77777777" w:rsidR="00495EA2" w:rsidRDefault="00495EA2"/>
        </w:tc>
        <w:tc>
          <w:tcPr>
            <w:tcW w:w="1900" w:type="dxa"/>
            <w:shd w:val="clear" w:color="auto" w:fill="FFF2CC"/>
            <w:tcMar>
              <w:top w:w="60" w:type="dxa"/>
              <w:left w:w="90" w:type="dxa"/>
              <w:bottom w:w="60" w:type="dxa"/>
              <w:right w:w="90" w:type="dxa"/>
            </w:tcMar>
            <w:vAlign w:val="center"/>
          </w:tcPr>
          <w:p w14:paraId="4098C978" w14:textId="77777777" w:rsidR="00495EA2" w:rsidRDefault="00495EA2"/>
        </w:tc>
        <w:tc>
          <w:tcPr>
            <w:tcW w:w="1560" w:type="dxa"/>
            <w:shd w:val="clear" w:color="auto" w:fill="FFF2CC"/>
            <w:tcMar>
              <w:top w:w="60" w:type="dxa"/>
              <w:left w:w="90" w:type="dxa"/>
              <w:bottom w:w="60" w:type="dxa"/>
              <w:right w:w="90" w:type="dxa"/>
            </w:tcMar>
            <w:vAlign w:val="center"/>
          </w:tcPr>
          <w:p w14:paraId="4075C65A" w14:textId="77777777" w:rsidR="00495EA2" w:rsidRDefault="00495EA2">
            <w:pPr>
              <w:jc w:val="right"/>
            </w:pPr>
          </w:p>
        </w:tc>
      </w:tr>
      <w:tr w:rsidR="00495EA2" w14:paraId="6F39344C" w14:textId="77777777">
        <w:tc>
          <w:tcPr>
            <w:tcW w:w="560" w:type="dxa"/>
            <w:tcMar>
              <w:top w:w="60" w:type="dxa"/>
              <w:left w:w="90" w:type="dxa"/>
              <w:bottom w:w="60" w:type="dxa"/>
              <w:right w:w="90" w:type="dxa"/>
            </w:tcMar>
            <w:vAlign w:val="center"/>
          </w:tcPr>
          <w:p w14:paraId="26BB2655" w14:textId="77777777" w:rsidR="00495EA2" w:rsidRDefault="00000000">
            <w:pPr>
              <w:jc w:val="center"/>
            </w:pPr>
            <w:r>
              <w:rPr>
                <w:sz w:val="19"/>
                <w:szCs w:val="19"/>
              </w:rPr>
              <w:t>5</w:t>
            </w:r>
          </w:p>
        </w:tc>
        <w:tc>
          <w:tcPr>
            <w:tcW w:w="4000" w:type="dxa"/>
            <w:tcMar>
              <w:top w:w="60" w:type="dxa"/>
              <w:left w:w="90" w:type="dxa"/>
              <w:bottom w:w="60" w:type="dxa"/>
              <w:right w:w="90" w:type="dxa"/>
            </w:tcMar>
            <w:vAlign w:val="center"/>
          </w:tcPr>
          <w:p w14:paraId="74BA416D" w14:textId="77777777" w:rsidR="00495EA2" w:rsidRDefault="00000000">
            <w:r>
              <w:rPr>
                <w:sz w:val="19"/>
                <w:szCs w:val="19"/>
              </w:rPr>
              <w:t>Honorarios de gestoría, asesoría o representación por la solicitud, el depósito anual o las subsanaciones</w:t>
            </w:r>
          </w:p>
        </w:tc>
        <w:tc>
          <w:tcPr>
            <w:tcW w:w="1050" w:type="dxa"/>
            <w:shd w:val="clear" w:color="auto" w:fill="FFF2CC"/>
            <w:tcMar>
              <w:top w:w="60" w:type="dxa"/>
              <w:left w:w="90" w:type="dxa"/>
              <w:bottom w:w="60" w:type="dxa"/>
              <w:right w:w="90" w:type="dxa"/>
            </w:tcMar>
            <w:vAlign w:val="center"/>
          </w:tcPr>
          <w:p w14:paraId="286CE0EE" w14:textId="77777777" w:rsidR="00495EA2" w:rsidRDefault="00495EA2"/>
        </w:tc>
        <w:tc>
          <w:tcPr>
            <w:tcW w:w="1900" w:type="dxa"/>
            <w:shd w:val="clear" w:color="auto" w:fill="FFF2CC"/>
            <w:tcMar>
              <w:top w:w="60" w:type="dxa"/>
              <w:left w:w="90" w:type="dxa"/>
              <w:bottom w:w="60" w:type="dxa"/>
              <w:right w:w="90" w:type="dxa"/>
            </w:tcMar>
            <w:vAlign w:val="center"/>
          </w:tcPr>
          <w:p w14:paraId="73FDE2F3" w14:textId="77777777" w:rsidR="00495EA2" w:rsidRDefault="00495EA2"/>
        </w:tc>
        <w:tc>
          <w:tcPr>
            <w:tcW w:w="1560" w:type="dxa"/>
            <w:shd w:val="clear" w:color="auto" w:fill="FFF2CC"/>
            <w:tcMar>
              <w:top w:w="60" w:type="dxa"/>
              <w:left w:w="90" w:type="dxa"/>
              <w:bottom w:w="60" w:type="dxa"/>
              <w:right w:w="90" w:type="dxa"/>
            </w:tcMar>
            <w:vAlign w:val="center"/>
          </w:tcPr>
          <w:p w14:paraId="6DF871F8" w14:textId="77777777" w:rsidR="00495EA2" w:rsidRDefault="00495EA2">
            <w:pPr>
              <w:jc w:val="right"/>
            </w:pPr>
          </w:p>
        </w:tc>
      </w:tr>
      <w:tr w:rsidR="00495EA2" w14:paraId="4BB18C09" w14:textId="77777777">
        <w:tc>
          <w:tcPr>
            <w:tcW w:w="560" w:type="dxa"/>
            <w:tcMar>
              <w:top w:w="60" w:type="dxa"/>
              <w:left w:w="90" w:type="dxa"/>
              <w:bottom w:w="60" w:type="dxa"/>
              <w:right w:w="90" w:type="dxa"/>
            </w:tcMar>
            <w:vAlign w:val="center"/>
          </w:tcPr>
          <w:p w14:paraId="00983589" w14:textId="77777777" w:rsidR="00495EA2" w:rsidRDefault="00000000">
            <w:pPr>
              <w:jc w:val="center"/>
            </w:pPr>
            <w:r>
              <w:rPr>
                <w:sz w:val="19"/>
                <w:szCs w:val="19"/>
              </w:rPr>
              <w:t>6</w:t>
            </w:r>
          </w:p>
        </w:tc>
        <w:tc>
          <w:tcPr>
            <w:tcW w:w="4000" w:type="dxa"/>
            <w:tcMar>
              <w:top w:w="60" w:type="dxa"/>
              <w:left w:w="90" w:type="dxa"/>
              <w:bottom w:w="60" w:type="dxa"/>
              <w:right w:w="90" w:type="dxa"/>
            </w:tcMar>
            <w:vAlign w:val="center"/>
          </w:tcPr>
          <w:p w14:paraId="6A4A67DD" w14:textId="77777777" w:rsidR="00495EA2" w:rsidRDefault="00000000">
            <w:r>
              <w:rPr>
                <w:sz w:val="19"/>
                <w:szCs w:val="19"/>
              </w:rPr>
              <w:t>Documentación obtenida exclusivamente para la tramitación (certificaciones catastrales, copias, traducciones)</w:t>
            </w:r>
          </w:p>
        </w:tc>
        <w:tc>
          <w:tcPr>
            <w:tcW w:w="1050" w:type="dxa"/>
            <w:shd w:val="clear" w:color="auto" w:fill="FFF2CC"/>
            <w:tcMar>
              <w:top w:w="60" w:type="dxa"/>
              <w:left w:w="90" w:type="dxa"/>
              <w:bottom w:w="60" w:type="dxa"/>
              <w:right w:w="90" w:type="dxa"/>
            </w:tcMar>
            <w:vAlign w:val="center"/>
          </w:tcPr>
          <w:p w14:paraId="437F71BD" w14:textId="77777777" w:rsidR="00495EA2" w:rsidRDefault="00495EA2"/>
        </w:tc>
        <w:tc>
          <w:tcPr>
            <w:tcW w:w="1900" w:type="dxa"/>
            <w:shd w:val="clear" w:color="auto" w:fill="FFF2CC"/>
            <w:tcMar>
              <w:top w:w="60" w:type="dxa"/>
              <w:left w:w="90" w:type="dxa"/>
              <w:bottom w:w="60" w:type="dxa"/>
              <w:right w:w="90" w:type="dxa"/>
            </w:tcMar>
            <w:vAlign w:val="center"/>
          </w:tcPr>
          <w:p w14:paraId="0B3B268C" w14:textId="77777777" w:rsidR="00495EA2" w:rsidRDefault="00495EA2"/>
        </w:tc>
        <w:tc>
          <w:tcPr>
            <w:tcW w:w="1560" w:type="dxa"/>
            <w:shd w:val="clear" w:color="auto" w:fill="FFF2CC"/>
            <w:tcMar>
              <w:top w:w="60" w:type="dxa"/>
              <w:left w:w="90" w:type="dxa"/>
              <w:bottom w:w="60" w:type="dxa"/>
              <w:right w:w="90" w:type="dxa"/>
            </w:tcMar>
            <w:vAlign w:val="center"/>
          </w:tcPr>
          <w:p w14:paraId="774275E3" w14:textId="77777777" w:rsidR="00495EA2" w:rsidRDefault="00495EA2">
            <w:pPr>
              <w:jc w:val="right"/>
            </w:pPr>
          </w:p>
        </w:tc>
      </w:tr>
      <w:tr w:rsidR="00495EA2" w14:paraId="63F14B5E" w14:textId="77777777">
        <w:tc>
          <w:tcPr>
            <w:tcW w:w="560" w:type="dxa"/>
            <w:tcMar>
              <w:top w:w="60" w:type="dxa"/>
              <w:left w:w="90" w:type="dxa"/>
              <w:bottom w:w="60" w:type="dxa"/>
              <w:right w:w="90" w:type="dxa"/>
            </w:tcMar>
            <w:vAlign w:val="center"/>
          </w:tcPr>
          <w:p w14:paraId="755617CC" w14:textId="77777777" w:rsidR="00495EA2" w:rsidRDefault="00000000">
            <w:pPr>
              <w:jc w:val="center"/>
            </w:pPr>
            <w:r>
              <w:rPr>
                <w:sz w:val="19"/>
                <w:szCs w:val="19"/>
              </w:rPr>
              <w:t>7</w:t>
            </w:r>
          </w:p>
        </w:tc>
        <w:tc>
          <w:tcPr>
            <w:tcW w:w="4000" w:type="dxa"/>
            <w:tcMar>
              <w:top w:w="60" w:type="dxa"/>
              <w:left w:w="90" w:type="dxa"/>
              <w:bottom w:w="60" w:type="dxa"/>
              <w:right w:w="90" w:type="dxa"/>
            </w:tcMar>
            <w:vAlign w:val="center"/>
          </w:tcPr>
          <w:p w14:paraId="02DBE7D9" w14:textId="77777777" w:rsidR="00495EA2" w:rsidRDefault="00000000">
            <w:r>
              <w:rPr>
                <w:sz w:val="19"/>
                <w:szCs w:val="19"/>
              </w:rPr>
              <w:t>Gastos notariales de poder otorgado a los solos efectos de la tramitación</w:t>
            </w:r>
          </w:p>
        </w:tc>
        <w:tc>
          <w:tcPr>
            <w:tcW w:w="1050" w:type="dxa"/>
            <w:shd w:val="clear" w:color="auto" w:fill="FFF2CC"/>
            <w:tcMar>
              <w:top w:w="60" w:type="dxa"/>
              <w:left w:w="90" w:type="dxa"/>
              <w:bottom w:w="60" w:type="dxa"/>
              <w:right w:w="90" w:type="dxa"/>
            </w:tcMar>
            <w:vAlign w:val="center"/>
          </w:tcPr>
          <w:p w14:paraId="495A112D" w14:textId="77777777" w:rsidR="00495EA2" w:rsidRDefault="00495EA2"/>
        </w:tc>
        <w:tc>
          <w:tcPr>
            <w:tcW w:w="1900" w:type="dxa"/>
            <w:shd w:val="clear" w:color="auto" w:fill="FFF2CC"/>
            <w:tcMar>
              <w:top w:w="60" w:type="dxa"/>
              <w:left w:w="90" w:type="dxa"/>
              <w:bottom w:w="60" w:type="dxa"/>
              <w:right w:w="90" w:type="dxa"/>
            </w:tcMar>
            <w:vAlign w:val="center"/>
          </w:tcPr>
          <w:p w14:paraId="1F51BEAC" w14:textId="77777777" w:rsidR="00495EA2" w:rsidRDefault="00495EA2"/>
        </w:tc>
        <w:tc>
          <w:tcPr>
            <w:tcW w:w="1560" w:type="dxa"/>
            <w:shd w:val="clear" w:color="auto" w:fill="FFF2CC"/>
            <w:tcMar>
              <w:top w:w="60" w:type="dxa"/>
              <w:left w:w="90" w:type="dxa"/>
              <w:bottom w:w="60" w:type="dxa"/>
              <w:right w:w="90" w:type="dxa"/>
            </w:tcMar>
            <w:vAlign w:val="center"/>
          </w:tcPr>
          <w:p w14:paraId="1E0C965E" w14:textId="77777777" w:rsidR="00495EA2" w:rsidRDefault="00495EA2">
            <w:pPr>
              <w:jc w:val="right"/>
            </w:pPr>
          </w:p>
        </w:tc>
      </w:tr>
      <w:tr w:rsidR="00495EA2" w14:paraId="38C56E77" w14:textId="77777777">
        <w:tc>
          <w:tcPr>
            <w:tcW w:w="560" w:type="dxa"/>
            <w:tcMar>
              <w:top w:w="60" w:type="dxa"/>
              <w:left w:w="90" w:type="dxa"/>
              <w:bottom w:w="60" w:type="dxa"/>
              <w:right w:w="90" w:type="dxa"/>
            </w:tcMar>
            <w:vAlign w:val="center"/>
          </w:tcPr>
          <w:p w14:paraId="3AE55055" w14:textId="77777777" w:rsidR="00495EA2" w:rsidRDefault="00000000">
            <w:pPr>
              <w:jc w:val="center"/>
            </w:pPr>
            <w:r>
              <w:rPr>
                <w:sz w:val="19"/>
                <w:szCs w:val="19"/>
              </w:rPr>
              <w:t>8</w:t>
            </w:r>
          </w:p>
        </w:tc>
        <w:tc>
          <w:tcPr>
            <w:tcW w:w="4000" w:type="dxa"/>
            <w:tcMar>
              <w:top w:w="60" w:type="dxa"/>
              <w:left w:w="90" w:type="dxa"/>
              <w:bottom w:w="60" w:type="dxa"/>
              <w:right w:w="90" w:type="dxa"/>
            </w:tcMar>
            <w:vAlign w:val="center"/>
          </w:tcPr>
          <w:p w14:paraId="0A479809" w14:textId="77777777" w:rsidR="00495EA2" w:rsidRDefault="00000000">
            <w:r>
              <w:rPr>
                <w:sz w:val="19"/>
                <w:szCs w:val="19"/>
              </w:rPr>
              <w:t>Certificado electrónico o medios de identificación obtenidos a los solos efectos de la tramitación</w:t>
            </w:r>
          </w:p>
        </w:tc>
        <w:tc>
          <w:tcPr>
            <w:tcW w:w="1050" w:type="dxa"/>
            <w:shd w:val="clear" w:color="auto" w:fill="FFF2CC"/>
            <w:tcMar>
              <w:top w:w="60" w:type="dxa"/>
              <w:left w:w="90" w:type="dxa"/>
              <w:bottom w:w="60" w:type="dxa"/>
              <w:right w:w="90" w:type="dxa"/>
            </w:tcMar>
            <w:vAlign w:val="center"/>
          </w:tcPr>
          <w:p w14:paraId="77A04BDC" w14:textId="77777777" w:rsidR="00495EA2" w:rsidRDefault="00495EA2"/>
        </w:tc>
        <w:tc>
          <w:tcPr>
            <w:tcW w:w="1900" w:type="dxa"/>
            <w:shd w:val="clear" w:color="auto" w:fill="FFF2CC"/>
            <w:tcMar>
              <w:top w:w="60" w:type="dxa"/>
              <w:left w:w="90" w:type="dxa"/>
              <w:bottom w:w="60" w:type="dxa"/>
              <w:right w:w="90" w:type="dxa"/>
            </w:tcMar>
            <w:vAlign w:val="center"/>
          </w:tcPr>
          <w:p w14:paraId="5B8B38C5" w14:textId="77777777" w:rsidR="00495EA2" w:rsidRDefault="00495EA2"/>
        </w:tc>
        <w:tc>
          <w:tcPr>
            <w:tcW w:w="1560" w:type="dxa"/>
            <w:shd w:val="clear" w:color="auto" w:fill="FFF2CC"/>
            <w:tcMar>
              <w:top w:w="60" w:type="dxa"/>
              <w:left w:w="90" w:type="dxa"/>
              <w:bottom w:w="60" w:type="dxa"/>
              <w:right w:w="90" w:type="dxa"/>
            </w:tcMar>
            <w:vAlign w:val="center"/>
          </w:tcPr>
          <w:p w14:paraId="070DD588" w14:textId="77777777" w:rsidR="00495EA2" w:rsidRDefault="00495EA2">
            <w:pPr>
              <w:jc w:val="right"/>
            </w:pPr>
          </w:p>
        </w:tc>
      </w:tr>
      <w:tr w:rsidR="00495EA2" w14:paraId="6446DC06" w14:textId="77777777">
        <w:tc>
          <w:tcPr>
            <w:tcW w:w="560" w:type="dxa"/>
            <w:tcMar>
              <w:top w:w="60" w:type="dxa"/>
              <w:left w:w="90" w:type="dxa"/>
              <w:bottom w:w="60" w:type="dxa"/>
              <w:right w:w="90" w:type="dxa"/>
            </w:tcMar>
            <w:vAlign w:val="center"/>
          </w:tcPr>
          <w:p w14:paraId="092B9D95" w14:textId="77777777" w:rsidR="00495EA2" w:rsidRDefault="00000000">
            <w:pPr>
              <w:jc w:val="center"/>
            </w:pPr>
            <w:r>
              <w:rPr>
                <w:sz w:val="19"/>
                <w:szCs w:val="19"/>
              </w:rPr>
              <w:t>9</w:t>
            </w:r>
          </w:p>
        </w:tc>
        <w:tc>
          <w:tcPr>
            <w:tcW w:w="4000" w:type="dxa"/>
            <w:tcMar>
              <w:top w:w="60" w:type="dxa"/>
              <w:left w:w="90" w:type="dxa"/>
              <w:bottom w:w="60" w:type="dxa"/>
              <w:right w:w="90" w:type="dxa"/>
            </w:tcMar>
            <w:vAlign w:val="center"/>
          </w:tcPr>
          <w:p w14:paraId="69490224" w14:textId="77777777" w:rsidR="00495EA2" w:rsidRDefault="00000000">
            <w:r>
              <w:rPr>
                <w:sz w:val="19"/>
                <w:szCs w:val="19"/>
              </w:rPr>
              <w:t>IVA soportado no deducible sobre los conceptos anteriores</w:t>
            </w:r>
          </w:p>
        </w:tc>
        <w:tc>
          <w:tcPr>
            <w:tcW w:w="1050" w:type="dxa"/>
            <w:shd w:val="clear" w:color="auto" w:fill="FFF2CC"/>
            <w:tcMar>
              <w:top w:w="60" w:type="dxa"/>
              <w:left w:w="90" w:type="dxa"/>
              <w:bottom w:w="60" w:type="dxa"/>
              <w:right w:w="90" w:type="dxa"/>
            </w:tcMar>
            <w:vAlign w:val="center"/>
          </w:tcPr>
          <w:p w14:paraId="30E414F1" w14:textId="77777777" w:rsidR="00495EA2" w:rsidRDefault="00495EA2"/>
        </w:tc>
        <w:tc>
          <w:tcPr>
            <w:tcW w:w="1900" w:type="dxa"/>
            <w:shd w:val="clear" w:color="auto" w:fill="FFF2CC"/>
            <w:tcMar>
              <w:top w:w="60" w:type="dxa"/>
              <w:left w:w="90" w:type="dxa"/>
              <w:bottom w:w="60" w:type="dxa"/>
              <w:right w:w="90" w:type="dxa"/>
            </w:tcMar>
            <w:vAlign w:val="center"/>
          </w:tcPr>
          <w:p w14:paraId="390430AD" w14:textId="77777777" w:rsidR="00495EA2" w:rsidRDefault="00495EA2"/>
        </w:tc>
        <w:tc>
          <w:tcPr>
            <w:tcW w:w="1560" w:type="dxa"/>
            <w:shd w:val="clear" w:color="auto" w:fill="FFF2CC"/>
            <w:tcMar>
              <w:top w:w="60" w:type="dxa"/>
              <w:left w:w="90" w:type="dxa"/>
              <w:bottom w:w="60" w:type="dxa"/>
              <w:right w:w="90" w:type="dxa"/>
            </w:tcMar>
            <w:vAlign w:val="center"/>
          </w:tcPr>
          <w:p w14:paraId="70CC2F7E" w14:textId="77777777" w:rsidR="00495EA2" w:rsidRDefault="00495EA2">
            <w:pPr>
              <w:jc w:val="right"/>
            </w:pPr>
          </w:p>
        </w:tc>
      </w:tr>
      <w:tr w:rsidR="00495EA2" w14:paraId="01B0214E" w14:textId="77777777">
        <w:tc>
          <w:tcPr>
            <w:tcW w:w="560" w:type="dxa"/>
            <w:tcMar>
              <w:top w:w="60" w:type="dxa"/>
              <w:left w:w="90" w:type="dxa"/>
              <w:bottom w:w="60" w:type="dxa"/>
              <w:right w:w="90" w:type="dxa"/>
            </w:tcMar>
            <w:vAlign w:val="center"/>
          </w:tcPr>
          <w:p w14:paraId="0D73B790" w14:textId="77777777" w:rsidR="00495EA2" w:rsidRDefault="00000000">
            <w:pPr>
              <w:jc w:val="center"/>
            </w:pPr>
            <w:r>
              <w:rPr>
                <w:sz w:val="19"/>
                <w:szCs w:val="19"/>
              </w:rPr>
              <w:t>10</w:t>
            </w:r>
          </w:p>
        </w:tc>
        <w:tc>
          <w:tcPr>
            <w:tcW w:w="4000" w:type="dxa"/>
            <w:tcMar>
              <w:top w:w="60" w:type="dxa"/>
              <w:left w:w="90" w:type="dxa"/>
              <w:bottom w:w="60" w:type="dxa"/>
              <w:right w:w="90" w:type="dxa"/>
            </w:tcMar>
            <w:vAlign w:val="center"/>
          </w:tcPr>
          <w:p w14:paraId="2B55B993" w14:textId="77777777" w:rsidR="00495EA2" w:rsidRDefault="00000000">
            <w:r>
              <w:rPr>
                <w:sz w:val="19"/>
                <w:szCs w:val="19"/>
              </w:rPr>
              <w:t>Otros gastos directamente derivados de la obtención o del mantenimiento del NRUA</w:t>
            </w:r>
          </w:p>
        </w:tc>
        <w:tc>
          <w:tcPr>
            <w:tcW w:w="1050" w:type="dxa"/>
            <w:shd w:val="clear" w:color="auto" w:fill="FFF2CC"/>
            <w:tcMar>
              <w:top w:w="60" w:type="dxa"/>
              <w:left w:w="90" w:type="dxa"/>
              <w:bottom w:w="60" w:type="dxa"/>
              <w:right w:w="90" w:type="dxa"/>
            </w:tcMar>
            <w:vAlign w:val="center"/>
          </w:tcPr>
          <w:p w14:paraId="12BD00F7" w14:textId="77777777" w:rsidR="00495EA2" w:rsidRDefault="00495EA2"/>
        </w:tc>
        <w:tc>
          <w:tcPr>
            <w:tcW w:w="1900" w:type="dxa"/>
            <w:shd w:val="clear" w:color="auto" w:fill="FFF2CC"/>
            <w:tcMar>
              <w:top w:w="60" w:type="dxa"/>
              <w:left w:w="90" w:type="dxa"/>
              <w:bottom w:w="60" w:type="dxa"/>
              <w:right w:w="90" w:type="dxa"/>
            </w:tcMar>
            <w:vAlign w:val="center"/>
          </w:tcPr>
          <w:p w14:paraId="77DABEEC" w14:textId="77777777" w:rsidR="00495EA2" w:rsidRDefault="00495EA2"/>
        </w:tc>
        <w:tc>
          <w:tcPr>
            <w:tcW w:w="1560" w:type="dxa"/>
            <w:shd w:val="clear" w:color="auto" w:fill="FFF2CC"/>
            <w:tcMar>
              <w:top w:w="60" w:type="dxa"/>
              <w:left w:w="90" w:type="dxa"/>
              <w:bottom w:w="60" w:type="dxa"/>
              <w:right w:w="90" w:type="dxa"/>
            </w:tcMar>
            <w:vAlign w:val="center"/>
          </w:tcPr>
          <w:p w14:paraId="1DDB509C" w14:textId="77777777" w:rsidR="00495EA2" w:rsidRDefault="00495EA2">
            <w:pPr>
              <w:jc w:val="right"/>
            </w:pPr>
          </w:p>
        </w:tc>
      </w:tr>
      <w:tr w:rsidR="00495EA2" w14:paraId="32931856" w14:textId="77777777">
        <w:tc>
          <w:tcPr>
            <w:tcW w:w="560" w:type="dxa"/>
            <w:shd w:val="clear" w:color="auto" w:fill="F2F2F2"/>
            <w:tcMar>
              <w:top w:w="60" w:type="dxa"/>
              <w:left w:w="90" w:type="dxa"/>
              <w:bottom w:w="60" w:type="dxa"/>
              <w:right w:w="90" w:type="dxa"/>
            </w:tcMar>
            <w:vAlign w:val="center"/>
          </w:tcPr>
          <w:p w14:paraId="5CFA5C64" w14:textId="77777777" w:rsidR="00495EA2" w:rsidRDefault="00495EA2"/>
        </w:tc>
        <w:tc>
          <w:tcPr>
            <w:tcW w:w="4000" w:type="dxa"/>
            <w:shd w:val="clear" w:color="auto" w:fill="F2F2F2"/>
            <w:tcMar>
              <w:top w:w="60" w:type="dxa"/>
              <w:left w:w="90" w:type="dxa"/>
              <w:bottom w:w="60" w:type="dxa"/>
              <w:right w:w="90" w:type="dxa"/>
            </w:tcMar>
            <w:vAlign w:val="center"/>
          </w:tcPr>
          <w:p w14:paraId="0BB744DF" w14:textId="77777777" w:rsidR="00495EA2" w:rsidRDefault="00000000">
            <w:proofErr w:type="gramStart"/>
            <w:r>
              <w:rPr>
                <w:b/>
                <w:bCs/>
                <w:sz w:val="19"/>
                <w:szCs w:val="19"/>
              </w:rPr>
              <w:t>TOTAL</w:t>
            </w:r>
            <w:proofErr w:type="gramEnd"/>
            <w:r>
              <w:rPr>
                <w:b/>
                <w:bCs/>
                <w:sz w:val="19"/>
                <w:szCs w:val="19"/>
              </w:rPr>
              <w:t xml:space="preserve"> RECLAMADO</w:t>
            </w:r>
          </w:p>
        </w:tc>
        <w:tc>
          <w:tcPr>
            <w:tcW w:w="1050" w:type="dxa"/>
            <w:shd w:val="clear" w:color="auto" w:fill="F2F2F2"/>
            <w:tcMar>
              <w:top w:w="60" w:type="dxa"/>
              <w:left w:w="90" w:type="dxa"/>
              <w:bottom w:w="60" w:type="dxa"/>
              <w:right w:w="90" w:type="dxa"/>
            </w:tcMar>
            <w:vAlign w:val="center"/>
          </w:tcPr>
          <w:p w14:paraId="10D9CFA5" w14:textId="77777777" w:rsidR="00495EA2" w:rsidRDefault="00495EA2"/>
        </w:tc>
        <w:tc>
          <w:tcPr>
            <w:tcW w:w="1900" w:type="dxa"/>
            <w:shd w:val="clear" w:color="auto" w:fill="F2F2F2"/>
            <w:tcMar>
              <w:top w:w="60" w:type="dxa"/>
              <w:left w:w="90" w:type="dxa"/>
              <w:bottom w:w="60" w:type="dxa"/>
              <w:right w:w="90" w:type="dxa"/>
            </w:tcMar>
            <w:vAlign w:val="center"/>
          </w:tcPr>
          <w:p w14:paraId="0EFF9C00" w14:textId="77777777" w:rsidR="00495EA2" w:rsidRDefault="00495EA2"/>
        </w:tc>
        <w:tc>
          <w:tcPr>
            <w:tcW w:w="1560" w:type="dxa"/>
            <w:shd w:val="clear" w:color="auto" w:fill="FFF2CC"/>
            <w:tcMar>
              <w:top w:w="60" w:type="dxa"/>
              <w:left w:w="90" w:type="dxa"/>
              <w:bottom w:w="60" w:type="dxa"/>
              <w:right w:w="90" w:type="dxa"/>
            </w:tcMar>
            <w:vAlign w:val="center"/>
          </w:tcPr>
          <w:p w14:paraId="7F10622B" w14:textId="77777777" w:rsidR="00495EA2" w:rsidRDefault="00495EA2">
            <w:pPr>
              <w:jc w:val="right"/>
            </w:pPr>
          </w:p>
        </w:tc>
      </w:tr>
    </w:tbl>
    <w:p w14:paraId="501979BA" w14:textId="77777777" w:rsidR="00495EA2" w:rsidRDefault="00000000">
      <w:pPr>
        <w:spacing w:before="120" w:after="160" w:line="276" w:lineRule="auto"/>
        <w:jc w:val="both"/>
      </w:pPr>
      <w:r>
        <w:rPr>
          <w:i/>
          <w:iCs/>
          <w:sz w:val="19"/>
          <w:szCs w:val="19"/>
        </w:rPr>
        <w:t>Se relacionan únicamente conceptos que no habrían existido de no haberse implantado el procedimiento estatal de registro único. Deberá suprimirse toda partida que carezca de justificante de pago o que responda a obligaciones autonómicas o municipales preexistentes, ajenas al NRUA</w:t>
      </w:r>
      <w:r>
        <w:rPr>
          <w:rStyle w:val="Refdenotaalpie"/>
        </w:rPr>
        <w:footnoteReference w:id="13"/>
      </w:r>
      <w:r>
        <w:rPr>
          <w:i/>
          <w:iCs/>
          <w:sz w:val="19"/>
          <w:szCs w:val="19"/>
        </w:rPr>
        <w:t>.</w:t>
      </w:r>
    </w:p>
    <w:p w14:paraId="7C5FB047" w14:textId="79094CA0" w:rsidR="00495EA2" w:rsidRDefault="00AE0B60" w:rsidP="00AE0B60">
      <w:pPr>
        <w:keepNext/>
        <w:pBdr>
          <w:bottom w:val="single" w:sz="24" w:space="1" w:color="5B9BD5" w:themeColor="accent5"/>
        </w:pBdr>
        <w:spacing w:before="220" w:after="110"/>
      </w:pPr>
      <w:r>
        <w:rPr>
          <w:b/>
          <w:bCs/>
          <w:sz w:val="22"/>
          <w:szCs w:val="22"/>
        </w:rPr>
        <w:t>SEXTO. —</w:t>
      </w:r>
      <w:r w:rsidR="00000000">
        <w:rPr>
          <w:b/>
          <w:bCs/>
          <w:sz w:val="22"/>
          <w:szCs w:val="22"/>
        </w:rPr>
        <w:t xml:space="preserve"> Anulación del procedimiento estatal de registro único.</w:t>
      </w:r>
      <w:r w:rsidR="00000000">
        <w:rPr>
          <w:rStyle w:val="Refdenotaalpie"/>
        </w:rPr>
        <w:footnoteReference w:id="14"/>
      </w:r>
    </w:p>
    <w:p w14:paraId="7DFAA094" w14:textId="77777777" w:rsidR="00495EA2" w:rsidRPr="00AE0B60" w:rsidRDefault="00000000">
      <w:pPr>
        <w:spacing w:after="120" w:line="276" w:lineRule="auto"/>
        <w:jc w:val="both"/>
      </w:pPr>
      <w:r w:rsidRPr="00AE0B60">
        <w:rPr>
          <w:sz w:val="22"/>
          <w:szCs w:val="22"/>
        </w:rPr>
        <w:t xml:space="preserve">El procedimiento estatal de registro único no ha sido anulado por un pronunciamiento aislado, sino por una serie de sentencias sucesivas y concordantes de la Sala Tercera del Tribunal Supremo, dictadas </w:t>
      </w:r>
      <w:r w:rsidRPr="00AE0B60">
        <w:rPr>
          <w:sz w:val="22"/>
          <w:szCs w:val="22"/>
        </w:rPr>
        <w:lastRenderedPageBreak/>
        <w:t>al resolver los distintos recursos que contra el Real Decreto 1312/2024 interpusieron Comunidades Autónomas y asociaciones representativas del sector. Entre ellas:</w:t>
      </w:r>
    </w:p>
    <w:p w14:paraId="12EF59A9" w14:textId="77777777" w:rsidR="00495EA2" w:rsidRPr="00AE0B60" w:rsidRDefault="00000000">
      <w:pPr>
        <w:pStyle w:val="Prrafodelista"/>
        <w:numPr>
          <w:ilvl w:val="0"/>
          <w:numId w:val="2"/>
        </w:numPr>
        <w:spacing w:after="70" w:line="276" w:lineRule="auto"/>
        <w:jc w:val="both"/>
      </w:pPr>
      <w:r w:rsidRPr="00AE0B60">
        <w:rPr>
          <w:sz w:val="22"/>
          <w:szCs w:val="22"/>
        </w:rPr>
        <w:t>Sentencia núm. 620/2026, de 19 de mayo (rec. 143/2025; ECLI:ES:TS:2026:2148), que estima en parte el recurso de la Generalitat Valenciana.</w:t>
      </w:r>
    </w:p>
    <w:p w14:paraId="034F60AB" w14:textId="77777777" w:rsidR="00495EA2" w:rsidRPr="00AE0B60" w:rsidRDefault="00000000">
      <w:pPr>
        <w:pStyle w:val="Prrafodelista"/>
        <w:numPr>
          <w:ilvl w:val="0"/>
          <w:numId w:val="2"/>
        </w:numPr>
        <w:spacing w:after="70" w:line="276" w:lineRule="auto"/>
        <w:jc w:val="both"/>
      </w:pPr>
      <w:r w:rsidRPr="00AE0B60">
        <w:rPr>
          <w:sz w:val="22"/>
          <w:szCs w:val="22"/>
        </w:rPr>
        <w:t>Sentencia núm. 629/2026, de 21 de mayo (rec. 54/2025), que estima en parte el recurso de la Associació d’Apartaments Turístics de Barcelona (APARTUR) y de la Associació Turística d’Apartaments de Girona (ATA).</w:t>
      </w:r>
    </w:p>
    <w:p w14:paraId="173C4369" w14:textId="77777777" w:rsidR="00495EA2" w:rsidRPr="00AE0B60" w:rsidRDefault="00000000">
      <w:pPr>
        <w:pStyle w:val="Prrafodelista"/>
        <w:numPr>
          <w:ilvl w:val="0"/>
          <w:numId w:val="2"/>
        </w:numPr>
        <w:spacing w:after="70" w:line="276" w:lineRule="auto"/>
        <w:jc w:val="both"/>
      </w:pPr>
      <w:r w:rsidRPr="00AE0B60">
        <w:rPr>
          <w:sz w:val="22"/>
          <w:szCs w:val="22"/>
        </w:rPr>
        <w:t>Sentencia núm. 649/2026, de 27 de mayo (rec. 139/2025), que estima en parte el recurso de la Junta de Andalucía.</w:t>
      </w:r>
    </w:p>
    <w:p w14:paraId="7DF2CAF7" w14:textId="77777777" w:rsidR="00495EA2" w:rsidRPr="00AE0B60" w:rsidRDefault="00000000">
      <w:pPr>
        <w:pStyle w:val="Prrafodelista"/>
        <w:numPr>
          <w:ilvl w:val="0"/>
          <w:numId w:val="2"/>
        </w:numPr>
        <w:spacing w:after="70" w:line="276" w:lineRule="auto"/>
        <w:jc w:val="both"/>
      </w:pPr>
      <w:r w:rsidRPr="00AE0B60">
        <w:rPr>
          <w:sz w:val="22"/>
          <w:szCs w:val="22"/>
        </w:rPr>
        <w:t>Sentencia de 1 de junio de 2026 (rec. 144/2025), que estima en parte el recurso de la Comunidad Autónoma de la Región de Murcia.</w:t>
      </w:r>
    </w:p>
    <w:p w14:paraId="666162EF" w14:textId="77777777" w:rsidR="00495EA2" w:rsidRPr="00AE0B60" w:rsidRDefault="00000000">
      <w:pPr>
        <w:pStyle w:val="Prrafodelista"/>
        <w:numPr>
          <w:ilvl w:val="0"/>
          <w:numId w:val="2"/>
        </w:numPr>
        <w:spacing w:after="70" w:line="276" w:lineRule="auto"/>
        <w:jc w:val="both"/>
      </w:pPr>
      <w:r w:rsidRPr="00AE0B60">
        <w:rPr>
          <w:sz w:val="22"/>
          <w:szCs w:val="22"/>
        </w:rPr>
        <w:t>Recurso interpuesto por la Asociación Canaria del Alquiler Vacacional (ASCAV), igualmente estimado.</w:t>
      </w:r>
    </w:p>
    <w:p w14:paraId="411D58BF" w14:textId="77777777" w:rsidR="00495EA2" w:rsidRPr="00AE0B60" w:rsidRDefault="00000000">
      <w:pPr>
        <w:pStyle w:val="Prrafodelista"/>
        <w:numPr>
          <w:ilvl w:val="0"/>
          <w:numId w:val="2"/>
        </w:numPr>
        <w:spacing w:after="130" w:line="276" w:lineRule="auto"/>
        <w:jc w:val="both"/>
      </w:pPr>
      <w:r w:rsidRPr="00AE0B60">
        <w:rPr>
          <w:sz w:val="22"/>
          <w:szCs w:val="22"/>
        </w:rPr>
        <w:t>Y demás sentencias dictadas en el mismo sentido sobre los restantes recursos deducidos frente a la misma disposición.</w:t>
      </w:r>
    </w:p>
    <w:p w14:paraId="1DE25CC6" w14:textId="77777777" w:rsidR="00495EA2" w:rsidRPr="00AE0B60" w:rsidRDefault="00000000">
      <w:pPr>
        <w:spacing w:after="120" w:line="276" w:lineRule="auto"/>
        <w:jc w:val="both"/>
      </w:pPr>
      <w:r w:rsidRPr="00AE0B60">
        <w:rPr>
          <w:sz w:val="22"/>
          <w:szCs w:val="22"/>
        </w:rPr>
        <w:t>Esta reiteración no es un dato anecdótico. Acredita que no se está ante un criterio singular susceptible de rectificación, sino ante una doctrina asentada de la Sala Tercera, alcanzada además a instancia de sujetos muy distintos —Administraciones autonómicas de varios territorios y asociaciones empresariales del sector—, lo que refuerza tanto la certeza de la anulación como la generalidad del perjuicio causado a quienes hubieron de someterse al sistema.</w:t>
      </w:r>
    </w:p>
    <w:p w14:paraId="100DD30D" w14:textId="77777777" w:rsidR="00495EA2" w:rsidRDefault="00000000">
      <w:pPr>
        <w:spacing w:after="120" w:line="276" w:lineRule="auto"/>
        <w:jc w:val="both"/>
      </w:pPr>
      <w:r>
        <w:rPr>
          <w:sz w:val="22"/>
          <w:szCs w:val="22"/>
        </w:rPr>
        <w:t>Todas ellas anulan los preceptos del Real Decreto 1312/2024 referidos al procedimiento de registro único de arrendamientos y a la obligación de inscripción en el Registro de la Propiedad o en el de Bienes Muebles para obtener un número de registro que permita ofrecer los servicios de alquiler de alojamientos de corta duración a través de las plataformas en línea.</w:t>
      </w:r>
    </w:p>
    <w:p w14:paraId="7D665942" w14:textId="77777777" w:rsidR="00495EA2" w:rsidRDefault="00000000">
      <w:pPr>
        <w:spacing w:after="120" w:line="276" w:lineRule="auto"/>
        <w:jc w:val="both"/>
      </w:pPr>
      <w:r>
        <w:rPr>
          <w:sz w:val="22"/>
          <w:szCs w:val="22"/>
        </w:rPr>
        <w:t>Concretamente, y tomando como referencia el fallo de la STS 620/2026, se anulan los artículos 1 (en cuanto se refiere al desarrollo del procedimiento de registro único), 2, apartados f), i) y j) (este último en lo relativo a los procedimientos de registro), 5, 6 (en lo relativo al procedimiento de registro único), 8, 9, 10, 12, letras b) y c), la disposición adicional segunda, la disposición final primera (en relación con los títulos competenciales) y cualesquiera otras previsiones o menciones referidas al registro único contenidas en el Real Decreto.</w:t>
      </w:r>
    </w:p>
    <w:p w14:paraId="5A7B3A60" w14:textId="77777777" w:rsidR="00495EA2" w:rsidRDefault="00000000">
      <w:pPr>
        <w:spacing w:after="120" w:line="276" w:lineRule="auto"/>
        <w:jc w:val="both"/>
      </w:pPr>
      <w:r>
        <w:rPr>
          <w:sz w:val="22"/>
          <w:szCs w:val="22"/>
        </w:rPr>
        <w:t xml:space="preserve">Interesa subrayar que los dos preceptos de los que nacen directamente los gastos aquí reclamados —el artículo 9, que regula la solicitud y obtención del número, y el artículo 10, que regula su verificación y el depósito anual del modelo informativo— figuran expresamente entre los anulados. Y la razón de decidir es inequívoca, y común a todas las sentencias citadas, según el fundamento jurídico cuarto de la primera de ellas: </w:t>
      </w:r>
      <w:r>
        <w:rPr>
          <w:i/>
          <w:iCs/>
          <w:sz w:val="22"/>
          <w:szCs w:val="22"/>
        </w:rPr>
        <w:t>«este Tribunal considera que el Estado carece de competencia para dictar las disposiciones del Real Decreto 1312/2024, de 23 de diciembre, referidas al procedimiento de registro único de arrendamientos de corta duración»</w:t>
      </w:r>
      <w:r>
        <w:rPr>
          <w:sz w:val="22"/>
          <w:szCs w:val="22"/>
        </w:rPr>
        <w:t>. Todas las sentencias han sido publicadas en el Boletín Oficial del Estado conforme al artículo 72.2 de la Ley 29/1998, de 13 de julio.</w:t>
      </w:r>
    </w:p>
    <w:p w14:paraId="447B6963" w14:textId="71380746" w:rsidR="00495EA2" w:rsidRDefault="00AE0B60" w:rsidP="00AE0B60">
      <w:pPr>
        <w:keepNext/>
        <w:pBdr>
          <w:bottom w:val="single" w:sz="24" w:space="1" w:color="5B9BD5" w:themeColor="accent5"/>
        </w:pBdr>
        <w:spacing w:before="220" w:after="110"/>
      </w:pPr>
      <w:r>
        <w:rPr>
          <w:b/>
          <w:bCs/>
          <w:sz w:val="22"/>
          <w:szCs w:val="22"/>
        </w:rPr>
        <w:t>SÉPTIMO. —</w:t>
      </w:r>
      <w:r w:rsidR="00000000">
        <w:rPr>
          <w:b/>
          <w:bCs/>
          <w:sz w:val="22"/>
          <w:szCs w:val="22"/>
        </w:rPr>
        <w:t xml:space="preserve"> Ausencia de reintegro por cualquier otra vía.</w:t>
      </w:r>
    </w:p>
    <w:p w14:paraId="4D86E61D" w14:textId="77777777" w:rsidR="00495EA2" w:rsidRDefault="00000000">
      <w:pPr>
        <w:spacing w:after="200" w:line="276" w:lineRule="auto"/>
        <w:jc w:val="both"/>
      </w:pPr>
      <w:r>
        <w:rPr>
          <w:sz w:val="22"/>
          <w:szCs w:val="22"/>
        </w:rPr>
        <w:t xml:space="preserve">El reclamante declara bajo su responsabilidad que no ha obtenido el reintegro ni la compensación de los importes reclamados por ninguna otra vía —administrativa, registral, jurisdiccional, contractual o </w:t>
      </w:r>
      <w:r>
        <w:rPr>
          <w:sz w:val="22"/>
          <w:szCs w:val="22"/>
        </w:rPr>
        <w:lastRenderedPageBreak/>
        <w:t>aseguradora—, que no ha repercutido su importe a terceros y que no existe otro procedimiento pendiente sobre los mismos conceptos.</w:t>
      </w:r>
      <w:r>
        <w:rPr>
          <w:rStyle w:val="Refdenotaalpie"/>
        </w:rPr>
        <w:footnoteReference w:id="15"/>
      </w:r>
    </w:p>
    <w:p w14:paraId="4B36B6A2" w14:textId="77777777" w:rsidR="00495EA2" w:rsidRDefault="00000000">
      <w:pPr>
        <w:keepNext/>
        <w:spacing w:before="260" w:after="180"/>
        <w:jc w:val="center"/>
      </w:pPr>
      <w:r>
        <w:rPr>
          <w:b/>
          <w:bCs/>
          <w:sz w:val="24"/>
          <w:szCs w:val="24"/>
        </w:rPr>
        <w:t>FUNDAMENTOS DE DERECHO</w:t>
      </w:r>
    </w:p>
    <w:p w14:paraId="0D09455D" w14:textId="77777777" w:rsidR="00495EA2" w:rsidRDefault="00000000" w:rsidP="00AE0B60">
      <w:pPr>
        <w:keepNext/>
        <w:pBdr>
          <w:bottom w:val="single" w:sz="24" w:space="1" w:color="5B9BD5" w:themeColor="accent5"/>
        </w:pBdr>
        <w:spacing w:before="220" w:after="110"/>
      </w:pPr>
      <w:r>
        <w:rPr>
          <w:b/>
          <w:bCs/>
          <w:sz w:val="22"/>
          <w:szCs w:val="22"/>
        </w:rPr>
        <w:t>I.— Competencia y procedimiento.</w:t>
      </w:r>
      <w:r>
        <w:rPr>
          <w:rStyle w:val="Refdenotaalpie"/>
        </w:rPr>
        <w:footnoteReference w:id="16"/>
      </w:r>
    </w:p>
    <w:p w14:paraId="37B6B277" w14:textId="77777777" w:rsidR="00495EA2" w:rsidRDefault="00000000">
      <w:pPr>
        <w:spacing w:after="120" w:line="276" w:lineRule="auto"/>
        <w:jc w:val="both"/>
      </w:pPr>
      <w:r>
        <w:rPr>
          <w:sz w:val="22"/>
          <w:szCs w:val="22"/>
        </w:rPr>
        <w:t>Corresponde a la Administración General del Estado responder del daño, por ser el Consejo de Ministros el autor del Real Decreto 1312/2024, aprobado a propuesta del Ministerio de Vivienda y Agenda Urbana. La resolución del procedimiento compete al Ministro respectivo conforme al artículo 92 de la Ley 39/2015, tramitándose con arreglo a los artículos 66, 67, 81, 82 y 91 del mismo texto legal.</w:t>
      </w:r>
    </w:p>
    <w:p w14:paraId="76E9431D" w14:textId="77777777" w:rsidR="00495EA2" w:rsidRDefault="00000000">
      <w:pPr>
        <w:spacing w:after="120" w:line="276" w:lineRule="auto"/>
        <w:jc w:val="both"/>
      </w:pPr>
      <w:r>
        <w:rPr>
          <w:sz w:val="22"/>
          <w:szCs w:val="22"/>
        </w:rPr>
        <w:t>Sin perjuicio de lo anterior, y para el caso de que se apreciara la intervención de otros órganos o Administraciones en la producción del daño —en particular del Ministerio de la Presidencia, Justicia y Relaciones con las Cortes, del que depende la estructura registral que materializó el sistema—, se invoca expresamente el artículo 33 de la Ley 40/2015, sobre responsabilidad concurrente, interesándose subsidiariamente la remisión de la presente reclamación al órgano competente conforme al artículo 14.1 de la Ley 40/2015, con notificación al interesado.</w:t>
      </w:r>
    </w:p>
    <w:p w14:paraId="6DC09F1A" w14:textId="77777777" w:rsidR="00495EA2" w:rsidRDefault="00000000" w:rsidP="00AE0B60">
      <w:pPr>
        <w:keepNext/>
        <w:pBdr>
          <w:bottom w:val="single" w:sz="24" w:space="1" w:color="5B9BD5" w:themeColor="accent5"/>
        </w:pBdr>
        <w:spacing w:before="220" w:after="110"/>
      </w:pPr>
      <w:r>
        <w:rPr>
          <w:b/>
          <w:bCs/>
          <w:sz w:val="22"/>
          <w:szCs w:val="22"/>
        </w:rPr>
        <w:t>II.— Legitimación.</w:t>
      </w:r>
    </w:p>
    <w:p w14:paraId="11A4941F" w14:textId="77777777" w:rsidR="00495EA2" w:rsidRDefault="00000000">
      <w:pPr>
        <w:spacing w:after="120" w:line="276" w:lineRule="auto"/>
        <w:jc w:val="both"/>
      </w:pPr>
      <w:r>
        <w:rPr>
          <w:sz w:val="22"/>
          <w:szCs w:val="22"/>
        </w:rPr>
        <w:t>El reclamante está legitimado como titular del interés legítimo lesionado, al ser quien soportó efectivamente en su patrimonio los desembolsos cuya indemnización se solicita (artículos 4 de la Ley 39/2015 y 32.1 de la Ley 40/2015).</w:t>
      </w:r>
    </w:p>
    <w:p w14:paraId="71D31D7C" w14:textId="77777777" w:rsidR="00495EA2" w:rsidRDefault="00000000" w:rsidP="00AE0B60">
      <w:pPr>
        <w:keepNext/>
        <w:pBdr>
          <w:bottom w:val="single" w:sz="24" w:space="1" w:color="5B9BD5" w:themeColor="accent5"/>
        </w:pBdr>
        <w:spacing w:before="220" w:after="110"/>
      </w:pPr>
      <w:r>
        <w:rPr>
          <w:b/>
          <w:bCs/>
          <w:sz w:val="22"/>
          <w:szCs w:val="22"/>
        </w:rPr>
        <w:t>III.— Plazo.</w:t>
      </w:r>
      <w:r>
        <w:rPr>
          <w:rStyle w:val="Refdenotaalpie"/>
        </w:rPr>
        <w:footnoteReference w:id="17"/>
      </w:r>
    </w:p>
    <w:p w14:paraId="4B1F0F0A" w14:textId="77777777" w:rsidR="00495EA2" w:rsidRDefault="00000000">
      <w:pPr>
        <w:spacing w:after="120" w:line="276" w:lineRule="auto"/>
        <w:jc w:val="both"/>
      </w:pPr>
      <w:r>
        <w:rPr>
          <w:sz w:val="22"/>
          <w:szCs w:val="22"/>
        </w:rPr>
        <w:t>La reclamación se formula en plazo. El artículo 67.1, párrafo segundo, de la Ley 39/2015 dispone que, en los casos en que proceda reconocer derecho a indemnización por anulación en vía administrativa o contencioso-administrativa de un acto o disposición de carácter general, el derecho a reclamar prescribe al año de haberse notificado la resolución administrativa o la sentencia definitiva. Dictada la STS 620/2026 con fecha 19 de mayo de 2026, la presente reclamación se interpone dentro del año siguiente.</w:t>
      </w:r>
    </w:p>
    <w:p w14:paraId="0190C92E" w14:textId="77777777" w:rsidR="00495EA2" w:rsidRDefault="00000000">
      <w:pPr>
        <w:spacing w:after="120" w:line="276" w:lineRule="auto"/>
        <w:jc w:val="both"/>
      </w:pPr>
      <w:r>
        <w:rPr>
          <w:sz w:val="22"/>
          <w:szCs w:val="22"/>
        </w:rPr>
        <w:t>Se hace constar, además, que conforme a la doctrina de la actio nata el cómputo no puede iniciarse antes de que el perjudicado esté en condiciones de conocer el alcance real y definitivo del daño, sin que en ningún caso el presente escrito resulte extemporáneo.</w:t>
      </w:r>
    </w:p>
    <w:p w14:paraId="2A829552" w14:textId="77777777" w:rsidR="00495EA2" w:rsidRDefault="00000000" w:rsidP="00AE0B60">
      <w:pPr>
        <w:keepNext/>
        <w:pBdr>
          <w:bottom w:val="single" w:sz="24" w:space="1" w:color="5B9BD5" w:themeColor="accent5"/>
        </w:pBdr>
        <w:spacing w:before="220" w:after="110"/>
      </w:pPr>
      <w:r>
        <w:rPr>
          <w:b/>
          <w:bCs/>
          <w:sz w:val="22"/>
          <w:szCs w:val="22"/>
        </w:rPr>
        <w:t>IV.— Concurrencia de los requisitos de la responsabilidad patrimonial.</w:t>
      </w:r>
    </w:p>
    <w:p w14:paraId="6EA739B0" w14:textId="77777777" w:rsidR="00495EA2" w:rsidRDefault="00000000">
      <w:pPr>
        <w:spacing w:after="120" w:line="276" w:lineRule="auto"/>
        <w:jc w:val="both"/>
      </w:pPr>
      <w:r>
        <w:rPr>
          <w:b/>
          <w:bCs/>
          <w:sz w:val="22"/>
          <w:szCs w:val="22"/>
        </w:rPr>
        <w:t xml:space="preserve">a) Lesión efectiva, evaluable económicamente e individualizada. </w:t>
      </w:r>
      <w:r>
        <w:rPr>
          <w:sz w:val="22"/>
          <w:szCs w:val="22"/>
        </w:rPr>
        <w:t xml:space="preserve">Los importes relacionados en el hecho quinto constituyen desembolsos ciertos, ya producidos, determinados en su cuantía y referidos </w:t>
      </w:r>
      <w:r>
        <w:rPr>
          <w:sz w:val="22"/>
          <w:szCs w:val="22"/>
        </w:rPr>
        <w:lastRenderedPageBreak/>
        <w:t>a un patrimonio concreto, acreditados mediante factura y justificante de pago. No se reclama perjuicio hipotético, futuro ni de cuantificación estimativa.</w:t>
      </w:r>
    </w:p>
    <w:p w14:paraId="205D048C" w14:textId="77777777" w:rsidR="00495EA2" w:rsidRDefault="00000000">
      <w:pPr>
        <w:spacing w:after="120" w:line="276" w:lineRule="auto"/>
        <w:jc w:val="both"/>
      </w:pPr>
      <w:r>
        <w:rPr>
          <w:b/>
          <w:bCs/>
          <w:sz w:val="22"/>
          <w:szCs w:val="22"/>
        </w:rPr>
        <w:t xml:space="preserve">b) Relación de causalidad directa, inmediata y exclusiva. </w:t>
      </w:r>
      <w:r>
        <w:rPr>
          <w:sz w:val="22"/>
          <w:szCs w:val="22"/>
        </w:rPr>
        <w:t>Los gastos reclamados tienen su origen único en el cumplimiento de los artículos 9 y 10 del Real Decreto 1312/2024, hoy anulados. No existían con anterioridad a dicha norma, no responden a ninguna obligación autonómica o municipal preexistente y han dejado de tener razón de ser tras la anulación. Son costes íntegramente inducidos por una regulación expulsada del ordenamiento.</w:t>
      </w:r>
    </w:p>
    <w:p w14:paraId="2B84246F" w14:textId="77777777" w:rsidR="00495EA2" w:rsidRDefault="00000000">
      <w:pPr>
        <w:spacing w:after="120" w:line="276" w:lineRule="auto"/>
        <w:jc w:val="both"/>
      </w:pPr>
      <w:r>
        <w:rPr>
          <w:b/>
          <w:bCs/>
          <w:sz w:val="22"/>
          <w:szCs w:val="22"/>
        </w:rPr>
        <w:t xml:space="preserve">c) Carácter no voluntario de la carga. </w:t>
      </w:r>
      <w:r>
        <w:rPr>
          <w:sz w:val="22"/>
          <w:szCs w:val="22"/>
        </w:rPr>
        <w:t>La obtención del número era presupuesto de acceso a las plataformas (artículos 5.a y 6.b) y el depósito anual del artículo 10.4 era condición de su continuidad, bajo amenaza de retirada del número y de eliminación de los anuncios (artículo 10.5). No cabe, por tanto, sostener que el reclamante asumiese libremente un coste prescindible: soportó una carga económica recurrente impuesta como condición de permanencia en el mercado.</w:t>
      </w:r>
    </w:p>
    <w:p w14:paraId="07768B4C" w14:textId="77777777" w:rsidR="00495EA2" w:rsidRDefault="00000000">
      <w:pPr>
        <w:spacing w:after="120" w:line="276" w:lineRule="auto"/>
        <w:jc w:val="both"/>
      </w:pPr>
      <w:r>
        <w:rPr>
          <w:b/>
          <w:bCs/>
          <w:sz w:val="22"/>
          <w:szCs w:val="22"/>
        </w:rPr>
        <w:t xml:space="preserve">d) Antijuridicidad del daño: inexistencia del deber jurídico de soportarlo. </w:t>
      </w:r>
      <w:r>
        <w:rPr>
          <w:rStyle w:val="Refdenotaalpie"/>
        </w:rPr>
        <w:footnoteReference w:id="18"/>
      </w:r>
      <w:r>
        <w:rPr>
          <w:sz w:val="22"/>
          <w:szCs w:val="22"/>
        </w:rPr>
        <w:t xml:space="preserve"> Éste es el elemento nuclear. El Tribunal Supremo no ha corregido un defecto formal ni ha modificado un criterio de oportunidad: ha declarado que el Estado carecía de competencia para establecer el procedimiento de registro único. Una carga económica impuesta a los ciudadanos al amparo de una regulación dictada sin cobertura competencial no constituye una carga general que el administrado venga obligado a tolerar, sino una lesión antijurídica en el sentido del artículo 32.1 de la Ley 40/2015. Dicho de otro modo: el reclamante no pagó por un servicio que necesitase, sino por entrar y permanecer en un sistema que el Estado no podía crear.</w:t>
      </w:r>
    </w:p>
    <w:p w14:paraId="69CA9555" w14:textId="77777777" w:rsidR="00495EA2" w:rsidRDefault="00000000">
      <w:pPr>
        <w:spacing w:after="120" w:line="276" w:lineRule="auto"/>
        <w:jc w:val="both"/>
      </w:pPr>
      <w:r>
        <w:rPr>
          <w:b/>
          <w:bCs/>
          <w:sz w:val="22"/>
          <w:szCs w:val="22"/>
        </w:rPr>
        <w:t xml:space="preserve">e) Confianza legítima. </w:t>
      </w:r>
      <w:r>
        <w:rPr>
          <w:sz w:val="22"/>
          <w:szCs w:val="22"/>
        </w:rPr>
        <w:t>El reclamante actuó confiando en la validez de una norma reglamentaria vigente, publicada en el Boletín Oficial del Estado y respaldada operativamente por comunicaciones institucionales y por la exigencia del número de registro por parte de las plataformas en línea, lo que generó una apariencia de obligatoriedad inmediata. La protección de la confianza legítima se impone como principio de actuación de las Administraciones Públicas ex artículo 3.1.e) de la Ley 40/2015.</w:t>
      </w:r>
    </w:p>
    <w:p w14:paraId="1BCFDCF6" w14:textId="77777777" w:rsidR="00495EA2" w:rsidRDefault="00000000">
      <w:pPr>
        <w:spacing w:after="120" w:line="276" w:lineRule="auto"/>
        <w:jc w:val="both"/>
      </w:pPr>
      <w:r>
        <w:rPr>
          <w:b/>
          <w:bCs/>
          <w:sz w:val="22"/>
          <w:szCs w:val="22"/>
        </w:rPr>
        <w:t xml:space="preserve">f) La inexistencia de automatismo indemnizatorio no excluye la indemnización. </w:t>
      </w:r>
      <w:r>
        <w:rPr>
          <w:sz w:val="22"/>
          <w:szCs w:val="22"/>
        </w:rPr>
        <w:t>El artículo 32.1, párrafo segundo, de la Ley 40/2015 establece que la anulación de actos o disposiciones administrativas no presupone, por sí misma, derecho a indemnización. Tal previsión excluye el automatismo, no el derecho: exige acreditar los requisitos legales, lo que aquí se hace de forma individualizada y documentada respecto de cada partida.</w:t>
      </w:r>
    </w:p>
    <w:p w14:paraId="105C7F3E" w14:textId="77777777" w:rsidR="00495EA2" w:rsidRDefault="00000000">
      <w:pPr>
        <w:spacing w:after="120" w:line="276" w:lineRule="auto"/>
        <w:jc w:val="both"/>
      </w:pPr>
      <w:r>
        <w:rPr>
          <w:b/>
          <w:bCs/>
          <w:sz w:val="22"/>
          <w:szCs w:val="22"/>
        </w:rPr>
        <w:t xml:space="preserve">g) Es indiferente quién percibió materialmente el arancel. </w:t>
      </w:r>
      <w:r>
        <w:rPr>
          <w:rStyle w:val="Refdenotaalpie"/>
        </w:rPr>
        <w:footnoteReference w:id="19"/>
      </w:r>
      <w:r>
        <w:rPr>
          <w:sz w:val="22"/>
          <w:szCs w:val="22"/>
        </w:rPr>
        <w:t xml:space="preserve"> No se ejercita una acción de devolución de ingresos indebidos frente a quien cobró, sino una acción de resarcimiento frente a quien causó el daño mediante su actuación normativa. Que los honorarios fueran percibidos por los Registradores no interrumpe el nexo causal ni desplaza la imputación: fue la norma estatal, y no la actuación registral, la que creó la necesidad jurídica y económica del desembolso.</w:t>
      </w:r>
    </w:p>
    <w:p w14:paraId="478A3801" w14:textId="77777777" w:rsidR="00495EA2" w:rsidRDefault="00000000">
      <w:pPr>
        <w:spacing w:after="120" w:line="276" w:lineRule="auto"/>
        <w:jc w:val="both"/>
      </w:pPr>
      <w:r>
        <w:rPr>
          <w:b/>
          <w:bCs/>
          <w:sz w:val="22"/>
          <w:szCs w:val="22"/>
        </w:rPr>
        <w:t xml:space="preserve">h) El artículo 73 de la Ley 29/1998 no constituye obstáculo. </w:t>
      </w:r>
      <w:r>
        <w:rPr>
          <w:sz w:val="22"/>
          <w:szCs w:val="22"/>
        </w:rPr>
        <w:t xml:space="preserve">No se pretende la revisión de acto firme alguno, ni la nulidad de la inscripción practicada, ni la devolución de un ingreso indebido de naturaleza tributaria. Se ejercita una acción autónoma de resarcimiento patrimonial, que opera en un plano distinto del de la eficacia de los actos consentidos y que la propia Ley 39/2015 contempla </w:t>
      </w:r>
      <w:r>
        <w:rPr>
          <w:sz w:val="22"/>
          <w:szCs w:val="22"/>
        </w:rPr>
        <w:lastRenderedPageBreak/>
        <w:t>expresamente en su artículo 67.1, párrafo segundo, precisamente para los supuestos de anulación de disposiciones generales.</w:t>
      </w:r>
    </w:p>
    <w:p w14:paraId="1C9346F9" w14:textId="77777777" w:rsidR="00495EA2" w:rsidRDefault="00000000" w:rsidP="00AE0B60">
      <w:pPr>
        <w:keepNext/>
        <w:pBdr>
          <w:bottom w:val="single" w:sz="24" w:space="1" w:color="5B9BD5" w:themeColor="accent5"/>
        </w:pBdr>
        <w:spacing w:before="220" w:after="110"/>
      </w:pPr>
      <w:r>
        <w:rPr>
          <w:b/>
          <w:bCs/>
          <w:sz w:val="22"/>
          <w:szCs w:val="22"/>
        </w:rPr>
        <w:t>V.— Cuantía, actualización e intereses.</w:t>
      </w:r>
      <w:r>
        <w:rPr>
          <w:rStyle w:val="Refdenotaalpie"/>
        </w:rPr>
        <w:footnoteReference w:id="20"/>
      </w:r>
    </w:p>
    <w:p w14:paraId="5916724E" w14:textId="77777777" w:rsidR="00495EA2" w:rsidRDefault="00000000">
      <w:pPr>
        <w:spacing w:after="120" w:line="276" w:lineRule="auto"/>
        <w:jc w:val="both"/>
      </w:pPr>
      <w:r>
        <w:rPr>
          <w:sz w:val="22"/>
          <w:szCs w:val="22"/>
        </w:rPr>
        <w:t>La cuantía se calcula con referencia al día en que la lesión efectivamente se produjo, esto es, la fecha de cada pago, sin perjuicio de su actualización a la fecha en que se ponga fin al procedimiento con arreglo al índice previsto en el artículo 34.3 de la Ley 40/2015 y del devengo de los intereses que procedan por demora en el pago de la indemnización que se fije.</w:t>
      </w:r>
    </w:p>
    <w:p w14:paraId="4D2C0ED9" w14:textId="77777777" w:rsidR="00495EA2" w:rsidRDefault="00000000" w:rsidP="00AE0B60">
      <w:pPr>
        <w:keepNext/>
        <w:pBdr>
          <w:bottom w:val="single" w:sz="24" w:space="1" w:color="5B9BD5" w:themeColor="accent5"/>
        </w:pBdr>
        <w:spacing w:before="220" w:after="110"/>
      </w:pPr>
      <w:r>
        <w:rPr>
          <w:b/>
          <w:bCs/>
          <w:sz w:val="22"/>
          <w:szCs w:val="22"/>
        </w:rPr>
        <w:t>VI.— Prueba.</w:t>
      </w:r>
    </w:p>
    <w:p w14:paraId="2E4285FB" w14:textId="77777777" w:rsidR="00495EA2" w:rsidRDefault="00000000">
      <w:pPr>
        <w:spacing w:after="200" w:line="276" w:lineRule="auto"/>
        <w:jc w:val="both"/>
      </w:pPr>
      <w:r>
        <w:rPr>
          <w:sz w:val="22"/>
          <w:szCs w:val="22"/>
        </w:rPr>
        <w:t>Se propone la prueba documental consistente en los documentos que se acompañan, interesándose asimismo que se incorpore de oficio al expediente el informe del Registro de la Propiedad interviniente sobre las actuaciones practicadas y los honorarios devengados a nombre del reclamante.</w:t>
      </w:r>
    </w:p>
    <w:p w14:paraId="491ABE48" w14:textId="77777777" w:rsidR="00495EA2" w:rsidRDefault="00000000" w:rsidP="00AE0B60">
      <w:pPr>
        <w:keepNext/>
        <w:spacing w:before="260" w:after="180"/>
      </w:pPr>
      <w:r w:rsidRPr="00AE0B60">
        <w:rPr>
          <w:sz w:val="24"/>
          <w:szCs w:val="24"/>
        </w:rPr>
        <w:t>DOCUMENTOS QUE SE ACOMPAÑAN</w:t>
      </w:r>
      <w:r>
        <w:rPr>
          <w:rStyle w:val="Refdenotaalpie"/>
        </w:rPr>
        <w:footnoteReference w:id="21"/>
      </w:r>
    </w:p>
    <w:p w14:paraId="2202B0AB" w14:textId="77777777" w:rsidR="00495EA2" w:rsidRDefault="00000000" w:rsidP="00AE0B60">
      <w:pPr>
        <w:pStyle w:val="Prrafodelista"/>
        <w:numPr>
          <w:ilvl w:val="0"/>
          <w:numId w:val="3"/>
        </w:numPr>
        <w:spacing w:after="80" w:line="276" w:lineRule="auto"/>
        <w:ind w:left="1701" w:hanging="1701"/>
        <w:jc w:val="both"/>
      </w:pPr>
      <w:r>
        <w:rPr>
          <w:sz w:val="22"/>
          <w:szCs w:val="22"/>
        </w:rPr>
        <w:t>Documento nacional de identidad o NIE del reclamante y, en su caso, escritura y poder acreditativos de la representación.</w:t>
      </w:r>
    </w:p>
    <w:p w14:paraId="5C4041CC"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Título acreditativo de la titularidad o de la condición invocada respecto de la unidad de alojamiento.</w:t>
      </w:r>
    </w:p>
    <w:p w14:paraId="2829195C"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Solicitud de NRUA presentada y justificante de su presentación.</w:t>
      </w:r>
    </w:p>
    <w:p w14:paraId="4BBEA7A0"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Comunicación o resolución registral de asignación del NRUA.</w:t>
      </w:r>
    </w:p>
    <w:p w14:paraId="6C3190B8"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Minutas o facturas registrales por la obtención del NRUA y justificantes bancarios de su pago.</w:t>
      </w:r>
    </w:p>
    <w:p w14:paraId="4489DCC1"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Modelo informativo de arrendamientos depositado y minutas o facturas de dicho depósito, con sus justificantes de pago.</w:t>
      </w:r>
    </w:p>
    <w:p w14:paraId="77E69FF7"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Minutas o facturas por actualizaciones, modificaciones o subsanaciones, con sus justificantes de pago.</w:t>
      </w:r>
    </w:p>
    <w:p w14:paraId="6593CE59"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Facturas de gestoría, asesoría o profesionales por la tramitación, con sus justificantes de pago.</w:t>
      </w:r>
    </w:p>
    <w:p w14:paraId="726023B1" w14:textId="77777777" w:rsidR="00495EA2" w:rsidRDefault="00000000" w:rsidP="00AE0B60">
      <w:pPr>
        <w:pStyle w:val="Prrafodelista"/>
        <w:numPr>
          <w:ilvl w:val="0"/>
          <w:numId w:val="3"/>
        </w:numPr>
        <w:tabs>
          <w:tab w:val="left" w:pos="1701"/>
        </w:tabs>
        <w:spacing w:after="80" w:line="276" w:lineRule="auto"/>
        <w:ind w:left="1701" w:hanging="1701"/>
        <w:jc w:val="both"/>
      </w:pPr>
      <w:r>
        <w:rPr>
          <w:sz w:val="22"/>
          <w:szCs w:val="22"/>
        </w:rPr>
        <w:t>En su caso, comunicaciones de plataformas en línea exigiendo el número de registro para el mantenimiento del anuncio.</w:t>
      </w:r>
    </w:p>
    <w:p w14:paraId="6D4624B3" w14:textId="77777777" w:rsidR="00495EA2" w:rsidRDefault="00000000" w:rsidP="00AE0B60">
      <w:pPr>
        <w:pStyle w:val="Prrafodelista"/>
        <w:numPr>
          <w:ilvl w:val="0"/>
          <w:numId w:val="3"/>
        </w:numPr>
        <w:tabs>
          <w:tab w:val="left" w:pos="1701"/>
        </w:tabs>
        <w:spacing w:after="200" w:line="276" w:lineRule="auto"/>
        <w:ind w:left="1701" w:hanging="1701"/>
        <w:jc w:val="both"/>
      </w:pPr>
      <w:r>
        <w:rPr>
          <w:sz w:val="22"/>
          <w:szCs w:val="22"/>
        </w:rPr>
        <w:t>Cuadro resumen de gastos reclamados, firmado por el reclamante.</w:t>
      </w:r>
    </w:p>
    <w:p w14:paraId="36FADA58" w14:textId="77777777" w:rsidR="00495EA2" w:rsidRDefault="00000000">
      <w:pPr>
        <w:keepNext/>
        <w:spacing w:before="260" w:after="180"/>
        <w:jc w:val="center"/>
      </w:pPr>
      <w:r>
        <w:rPr>
          <w:b/>
          <w:bCs/>
          <w:sz w:val="24"/>
          <w:szCs w:val="24"/>
        </w:rPr>
        <w:t>SOLICITA</w:t>
      </w:r>
    </w:p>
    <w:p w14:paraId="50972A6C" w14:textId="77777777" w:rsidR="00495EA2" w:rsidRDefault="00000000">
      <w:pPr>
        <w:spacing w:after="140" w:line="276" w:lineRule="auto"/>
        <w:jc w:val="both"/>
      </w:pPr>
      <w:r>
        <w:rPr>
          <w:sz w:val="22"/>
          <w:szCs w:val="22"/>
        </w:rPr>
        <w:t>Que, teniendo por presentado este escrito con los documentos que se acompañan, se sirva admitirlo y, en su virtud:</w:t>
      </w:r>
    </w:p>
    <w:p w14:paraId="524363E0" w14:textId="77777777" w:rsidR="00495EA2" w:rsidRDefault="00000000">
      <w:pPr>
        <w:pStyle w:val="Prrafodelista"/>
        <w:numPr>
          <w:ilvl w:val="0"/>
          <w:numId w:val="4"/>
        </w:numPr>
        <w:spacing w:after="100" w:line="276" w:lineRule="auto"/>
        <w:jc w:val="both"/>
      </w:pPr>
      <w:r>
        <w:rPr>
          <w:sz w:val="22"/>
          <w:szCs w:val="22"/>
        </w:rPr>
        <w:t>Tener por formulada, en tiempo y forma, reclamación de responsabilidad patrimonial frente a la Administración General del Estado, incoando el correspondiente procedimiento.</w:t>
      </w:r>
    </w:p>
    <w:p w14:paraId="7E5B5EC4" w14:textId="77777777" w:rsidR="00495EA2" w:rsidRDefault="00000000">
      <w:pPr>
        <w:pStyle w:val="Prrafodelista"/>
        <w:numPr>
          <w:ilvl w:val="0"/>
          <w:numId w:val="4"/>
        </w:numPr>
        <w:spacing w:after="100" w:line="276" w:lineRule="auto"/>
        <w:jc w:val="both"/>
      </w:pPr>
      <w:r>
        <w:rPr>
          <w:sz w:val="22"/>
          <w:szCs w:val="22"/>
        </w:rPr>
        <w:lastRenderedPageBreak/>
        <w:t>Admitir la prueba documental propuesta y recabar el informe registral interesado.</w:t>
      </w:r>
    </w:p>
    <w:p w14:paraId="124F6F9B" w14:textId="77777777" w:rsidR="00495EA2" w:rsidRDefault="00000000">
      <w:pPr>
        <w:pStyle w:val="Prrafodelista"/>
        <w:numPr>
          <w:ilvl w:val="0"/>
          <w:numId w:val="4"/>
        </w:numPr>
        <w:spacing w:after="100" w:line="276" w:lineRule="auto"/>
        <w:jc w:val="both"/>
      </w:pPr>
      <w:r>
        <w:rPr>
          <w:sz w:val="22"/>
          <w:szCs w:val="22"/>
        </w:rPr>
        <w:t xml:space="preserve">Dictar resolución por la que se declare la responsabilidad patrimonial de la Administración General del Estado y se reconozca al reclamante el derecho a percibir la cantidad de </w:t>
      </w:r>
      <w:r>
        <w:rPr>
          <w:b/>
          <w:bCs/>
          <w:color w:val="1F3864"/>
          <w:sz w:val="22"/>
          <w:szCs w:val="22"/>
          <w:shd w:val="clear" w:color="auto" w:fill="FFF2CC"/>
        </w:rPr>
        <w:t>[IMPORTE]</w:t>
      </w:r>
      <w:r>
        <w:rPr>
          <w:sz w:val="22"/>
          <w:szCs w:val="22"/>
        </w:rPr>
        <w:t xml:space="preserve"> euros, correspondiente a los gastos de obtención y de mantenimiento del NRUA —incluido el depósito anual del modelo informativo de arrendamientos—, con su actualización conforme al artículo 34.3 de la Ley 40/2015 y los intereses que procedan hasta su completo pago.</w:t>
      </w:r>
    </w:p>
    <w:p w14:paraId="0C793E17" w14:textId="77777777" w:rsidR="00495EA2" w:rsidRDefault="00000000">
      <w:pPr>
        <w:pStyle w:val="Prrafodelista"/>
        <w:numPr>
          <w:ilvl w:val="0"/>
          <w:numId w:val="4"/>
        </w:numPr>
        <w:spacing w:after="180" w:line="276" w:lineRule="auto"/>
        <w:jc w:val="both"/>
      </w:pPr>
      <w:r>
        <w:rPr>
          <w:sz w:val="22"/>
          <w:szCs w:val="22"/>
        </w:rPr>
        <w:t>Subsidiariamente, para el caso de que el órgano ante el que se presenta se considerase incompetente, remitir la reclamación al órgano competente conforme al artículo 14.1 de la Ley 40/2015, notificándolo al interesado a los efectos oportunos.</w:t>
      </w:r>
    </w:p>
    <w:p w14:paraId="224FB559" w14:textId="76454230" w:rsidR="00495EA2" w:rsidRDefault="00000000">
      <w:pPr>
        <w:spacing w:after="120" w:line="276" w:lineRule="auto"/>
        <w:jc w:val="both"/>
      </w:pPr>
      <w:r>
        <w:rPr>
          <w:b/>
          <w:bCs/>
          <w:sz w:val="22"/>
          <w:szCs w:val="22"/>
        </w:rPr>
        <w:t xml:space="preserve">OTROSÍ DIGO </w:t>
      </w:r>
      <w:r w:rsidR="00AE0B60">
        <w:rPr>
          <w:b/>
          <w:bCs/>
          <w:sz w:val="22"/>
          <w:szCs w:val="22"/>
        </w:rPr>
        <w:t>PRIMERO. —</w:t>
      </w:r>
      <w:r>
        <w:rPr>
          <w:b/>
          <w:bCs/>
          <w:sz w:val="22"/>
          <w:szCs w:val="22"/>
        </w:rPr>
        <w:t xml:space="preserve"> </w:t>
      </w:r>
      <w:r>
        <w:rPr>
          <w:sz w:val="22"/>
          <w:szCs w:val="22"/>
        </w:rPr>
        <w:t>Que se interesa expresamente la apertura del trámite de audiencia previsto en el artículo 82 de la Ley 39/2015, con puesta de manifiesto del expediente y traslado de cuantos informes se emitan, señalando como medio de notificación el electrónico.</w:t>
      </w:r>
    </w:p>
    <w:p w14:paraId="66ECEBA0" w14:textId="642FD0D8" w:rsidR="00495EA2" w:rsidRDefault="00000000">
      <w:pPr>
        <w:spacing w:after="120" w:line="276" w:lineRule="auto"/>
        <w:jc w:val="both"/>
      </w:pPr>
      <w:r>
        <w:rPr>
          <w:b/>
          <w:bCs/>
          <w:sz w:val="22"/>
          <w:szCs w:val="22"/>
        </w:rPr>
        <w:t xml:space="preserve">OTROSÍ DIGO </w:t>
      </w:r>
      <w:r w:rsidR="00AE0B60">
        <w:rPr>
          <w:b/>
          <w:bCs/>
          <w:sz w:val="22"/>
          <w:szCs w:val="22"/>
        </w:rPr>
        <w:t>SEGUNDO. —</w:t>
      </w:r>
      <w:r>
        <w:rPr>
          <w:b/>
          <w:bCs/>
          <w:sz w:val="22"/>
          <w:szCs w:val="22"/>
        </w:rPr>
        <w:t xml:space="preserve"> </w:t>
      </w:r>
      <w:r>
        <w:rPr>
          <w:rStyle w:val="Refdenotaalpie"/>
        </w:rPr>
        <w:footnoteReference w:id="22"/>
      </w:r>
      <w:r>
        <w:rPr>
          <w:sz w:val="22"/>
          <w:szCs w:val="22"/>
        </w:rPr>
        <w:t xml:space="preserve"> Que la presente reclamación se circunscribe a los gastos de obtención y de mantenimiento del NRUA, quedando expresamente reservado el ejercicio de las acciones que correspondan por cualesquiera otros daños y perjuicios derivados del mismo sistema —lucro cesante, pérdida de reservas, bloqueo de anuncios, costes de adaptación tecnológica o documental y perjuicios comerciales—, sin que la limitación del objeto de este escrito pueda interpretarse como renuncia a los mismos.</w:t>
      </w:r>
    </w:p>
    <w:p w14:paraId="2A18403A" w14:textId="3E89A5E0" w:rsidR="00495EA2" w:rsidRDefault="00000000">
      <w:pPr>
        <w:spacing w:after="220" w:line="276" w:lineRule="auto"/>
        <w:jc w:val="both"/>
      </w:pPr>
      <w:r>
        <w:rPr>
          <w:b/>
          <w:bCs/>
          <w:sz w:val="22"/>
          <w:szCs w:val="22"/>
        </w:rPr>
        <w:t xml:space="preserve">OTROSÍ DIGO </w:t>
      </w:r>
      <w:r w:rsidR="00AE0B60">
        <w:rPr>
          <w:b/>
          <w:bCs/>
          <w:sz w:val="22"/>
          <w:szCs w:val="22"/>
        </w:rPr>
        <w:t>TERCERO. —</w:t>
      </w:r>
      <w:r>
        <w:rPr>
          <w:b/>
          <w:bCs/>
          <w:sz w:val="22"/>
          <w:szCs w:val="22"/>
        </w:rPr>
        <w:t xml:space="preserve"> </w:t>
      </w:r>
      <w:r>
        <w:rPr>
          <w:rStyle w:val="Refdenotaalpie"/>
        </w:rPr>
        <w:footnoteReference w:id="23"/>
      </w:r>
      <w:r>
        <w:rPr>
          <w:sz w:val="22"/>
          <w:szCs w:val="22"/>
        </w:rPr>
        <w:t xml:space="preserve"> Que, transcurrido el plazo de seis meses sin notificación de resolución expresa, la reclamación podrá entenderse desestimada por silencio administrativo conforme al artículo 91.3 de la Ley 39/2015, sin perjuicio del deber de la Administración de resolver expresamente, quedando desde ahora anunciada la interposición del recurso contencioso-administrativo que en Derecho proceda.</w:t>
      </w:r>
    </w:p>
    <w:p w14:paraId="7F64C882" w14:textId="77777777" w:rsidR="00495EA2" w:rsidRDefault="00000000">
      <w:pPr>
        <w:spacing w:after="300" w:line="276" w:lineRule="auto"/>
        <w:jc w:val="both"/>
      </w:pPr>
      <w:r>
        <w:rPr>
          <w:sz w:val="22"/>
          <w:szCs w:val="22"/>
        </w:rPr>
        <w:t xml:space="preserve">En </w:t>
      </w:r>
      <w:r>
        <w:rPr>
          <w:b/>
          <w:bCs/>
          <w:color w:val="1F3864"/>
          <w:sz w:val="22"/>
          <w:szCs w:val="22"/>
          <w:shd w:val="clear" w:color="auto" w:fill="FFF2CC"/>
        </w:rPr>
        <w:t>[LUGAR]</w:t>
      </w:r>
      <w:r>
        <w:rPr>
          <w:sz w:val="22"/>
          <w:szCs w:val="22"/>
        </w:rPr>
        <w:t xml:space="preserve">, a </w:t>
      </w:r>
      <w:r>
        <w:rPr>
          <w:b/>
          <w:bCs/>
          <w:color w:val="1F3864"/>
          <w:sz w:val="22"/>
          <w:szCs w:val="22"/>
          <w:shd w:val="clear" w:color="auto" w:fill="FFF2CC"/>
        </w:rPr>
        <w:t>[·]</w:t>
      </w:r>
      <w:r>
        <w:rPr>
          <w:sz w:val="22"/>
          <w:szCs w:val="22"/>
        </w:rPr>
        <w:t xml:space="preserve"> de </w:t>
      </w:r>
      <w:r>
        <w:rPr>
          <w:b/>
          <w:bCs/>
          <w:color w:val="1F3864"/>
          <w:sz w:val="22"/>
          <w:szCs w:val="22"/>
          <w:shd w:val="clear" w:color="auto" w:fill="FFF2CC"/>
        </w:rPr>
        <w:t>[·]</w:t>
      </w:r>
      <w:r>
        <w:rPr>
          <w:sz w:val="22"/>
          <w:szCs w:val="22"/>
        </w:rPr>
        <w:t xml:space="preserve"> de 202</w:t>
      </w:r>
      <w:r>
        <w:rPr>
          <w:b/>
          <w:bCs/>
          <w:color w:val="1F3864"/>
          <w:sz w:val="22"/>
          <w:szCs w:val="22"/>
          <w:shd w:val="clear" w:color="auto" w:fill="FFF2CC"/>
        </w:rPr>
        <w:t>[·]</w:t>
      </w:r>
      <w:r>
        <w:rPr>
          <w:sz w:val="22"/>
          <w:szCs w:val="22"/>
        </w:rPr>
        <w:t>.</w:t>
      </w:r>
      <w:r>
        <w:rPr>
          <w:rStyle w:val="Refdenotaalpie"/>
        </w:rPr>
        <w:footnoteReference w:id="24"/>
      </w:r>
    </w:p>
    <w:p w14:paraId="586D2274" w14:textId="77777777" w:rsidR="00495EA2" w:rsidRDefault="00000000">
      <w:pPr>
        <w:spacing w:after="40" w:line="276" w:lineRule="auto"/>
        <w:jc w:val="both"/>
      </w:pPr>
      <w:r>
        <w:rPr>
          <w:sz w:val="22"/>
          <w:szCs w:val="22"/>
        </w:rPr>
        <w:t>Fdo.: ___________________________________</w:t>
      </w:r>
    </w:p>
    <w:p w14:paraId="6DCFA650" w14:textId="77777777" w:rsidR="00495EA2" w:rsidRDefault="00000000">
      <w:pPr>
        <w:spacing w:after="240" w:line="276" w:lineRule="auto"/>
        <w:jc w:val="both"/>
      </w:pPr>
      <w:r>
        <w:rPr>
          <w:i/>
          <w:iCs/>
          <w:sz w:val="19"/>
          <w:szCs w:val="19"/>
        </w:rPr>
        <w:t>[Nombre y apellidos del reclamante o de su representante]</w:t>
      </w:r>
    </w:p>
    <w:p w14:paraId="522C33A9" w14:textId="77777777" w:rsidR="00495EA2" w:rsidRDefault="00495EA2">
      <w:pPr>
        <w:pageBreakBefore/>
      </w:pPr>
    </w:p>
    <w:p w14:paraId="04C6CA1E" w14:textId="77777777" w:rsidR="00495EA2" w:rsidRDefault="00000000">
      <w:pPr>
        <w:keepNext/>
        <w:spacing w:before="60" w:after="60"/>
        <w:jc w:val="center"/>
      </w:pPr>
      <w:r>
        <w:rPr>
          <w:b/>
          <w:bCs/>
          <w:sz w:val="23"/>
          <w:szCs w:val="23"/>
        </w:rPr>
        <w:t>ANEXO — RELACIÓN DE UNIDADES DE ALOJAMIENTO</w:t>
      </w:r>
      <w:r>
        <w:rPr>
          <w:rStyle w:val="Refdenotaalpie"/>
        </w:rPr>
        <w:footnoteReference w:id="25"/>
      </w:r>
    </w:p>
    <w:p w14:paraId="59448DB4" w14:textId="77777777" w:rsidR="00495EA2" w:rsidRDefault="00000000">
      <w:pPr>
        <w:keepNext/>
        <w:spacing w:before="150" w:after="40"/>
      </w:pPr>
      <w:r>
        <w:rPr>
          <w:b/>
          <w:bCs/>
          <w:color w:val="767171"/>
          <w:sz w:val="17"/>
          <w:szCs w:val="17"/>
        </w:rPr>
        <w:t>▸ OPCIONAL — cumpliméntese sólo si se reclama respecto de más de una unidad; en otro caso, suprima esta página</w:t>
      </w:r>
    </w:p>
    <w:p w14:paraId="35FD240F" w14:textId="77777777" w:rsidR="00495EA2" w:rsidRDefault="00495EA2">
      <w:pPr>
        <w:spacing w:after="140"/>
      </w:pPr>
    </w:p>
    <w:tbl>
      <w:tblPr>
        <w:tblW w:w="9070" w:type="dxa"/>
        <w:tblBorders>
          <w:top w:val="single" w:sz="6" w:space="0" w:color="666666"/>
          <w:left w:val="single" w:sz="6" w:space="0" w:color="666666"/>
          <w:bottom w:val="single" w:sz="6" w:space="0" w:color="666666"/>
          <w:right w:val="single" w:sz="6" w:space="0" w:color="666666"/>
          <w:insideH w:val="single" w:sz="4" w:space="0" w:color="AAAAAA"/>
          <w:insideV w:val="single" w:sz="4" w:space="0" w:color="AAAAAA"/>
        </w:tblBorders>
        <w:tblCellMar>
          <w:left w:w="10" w:type="dxa"/>
          <w:right w:w="10" w:type="dxa"/>
        </w:tblCellMar>
        <w:tblLook w:val="04A0" w:firstRow="1" w:lastRow="0" w:firstColumn="1" w:lastColumn="0" w:noHBand="0" w:noVBand="1"/>
      </w:tblPr>
      <w:tblGrid>
        <w:gridCol w:w="560"/>
        <w:gridCol w:w="3450"/>
        <w:gridCol w:w="1750"/>
        <w:gridCol w:w="1750"/>
        <w:gridCol w:w="1560"/>
      </w:tblGrid>
      <w:tr w:rsidR="00495EA2" w14:paraId="4DE6DB20" w14:textId="77777777">
        <w:trPr>
          <w:tblHeader/>
        </w:trPr>
        <w:tc>
          <w:tcPr>
            <w:tcW w:w="560" w:type="dxa"/>
            <w:shd w:val="clear" w:color="auto" w:fill="DEE9F2"/>
            <w:tcMar>
              <w:top w:w="60" w:type="dxa"/>
              <w:left w:w="90" w:type="dxa"/>
              <w:bottom w:w="60" w:type="dxa"/>
              <w:right w:w="90" w:type="dxa"/>
            </w:tcMar>
            <w:vAlign w:val="center"/>
          </w:tcPr>
          <w:p w14:paraId="4B5D1BFB" w14:textId="77777777" w:rsidR="00495EA2" w:rsidRDefault="00000000">
            <w:pPr>
              <w:jc w:val="center"/>
            </w:pPr>
            <w:r>
              <w:rPr>
                <w:b/>
                <w:bCs/>
                <w:sz w:val="19"/>
                <w:szCs w:val="19"/>
              </w:rPr>
              <w:t>Nº</w:t>
            </w:r>
          </w:p>
        </w:tc>
        <w:tc>
          <w:tcPr>
            <w:tcW w:w="3450" w:type="dxa"/>
            <w:shd w:val="clear" w:color="auto" w:fill="DEE9F2"/>
            <w:tcMar>
              <w:top w:w="60" w:type="dxa"/>
              <w:left w:w="90" w:type="dxa"/>
              <w:bottom w:w="60" w:type="dxa"/>
              <w:right w:w="90" w:type="dxa"/>
            </w:tcMar>
            <w:vAlign w:val="center"/>
          </w:tcPr>
          <w:p w14:paraId="4E073F6E" w14:textId="77777777" w:rsidR="00495EA2" w:rsidRDefault="00000000">
            <w:r>
              <w:rPr>
                <w:b/>
                <w:bCs/>
                <w:sz w:val="19"/>
                <w:szCs w:val="19"/>
              </w:rPr>
              <w:t>Dirección de la unidad</w:t>
            </w:r>
          </w:p>
        </w:tc>
        <w:tc>
          <w:tcPr>
            <w:tcW w:w="1750" w:type="dxa"/>
            <w:shd w:val="clear" w:color="auto" w:fill="DEE9F2"/>
            <w:tcMar>
              <w:top w:w="60" w:type="dxa"/>
              <w:left w:w="90" w:type="dxa"/>
              <w:bottom w:w="60" w:type="dxa"/>
              <w:right w:w="90" w:type="dxa"/>
            </w:tcMar>
            <w:vAlign w:val="center"/>
          </w:tcPr>
          <w:p w14:paraId="0719313C" w14:textId="77777777" w:rsidR="00495EA2" w:rsidRDefault="00000000">
            <w:r>
              <w:rPr>
                <w:b/>
                <w:bCs/>
                <w:sz w:val="19"/>
                <w:szCs w:val="19"/>
              </w:rPr>
              <w:t>Ref. catastral</w:t>
            </w:r>
          </w:p>
        </w:tc>
        <w:tc>
          <w:tcPr>
            <w:tcW w:w="1750" w:type="dxa"/>
            <w:shd w:val="clear" w:color="auto" w:fill="DEE9F2"/>
            <w:tcMar>
              <w:top w:w="60" w:type="dxa"/>
              <w:left w:w="90" w:type="dxa"/>
              <w:bottom w:w="60" w:type="dxa"/>
              <w:right w:w="90" w:type="dxa"/>
            </w:tcMar>
            <w:vAlign w:val="center"/>
          </w:tcPr>
          <w:p w14:paraId="6C828F34" w14:textId="77777777" w:rsidR="00495EA2" w:rsidRDefault="00000000">
            <w:r>
              <w:rPr>
                <w:b/>
                <w:bCs/>
                <w:sz w:val="19"/>
                <w:szCs w:val="19"/>
              </w:rPr>
              <w:t>NRUA asignado</w:t>
            </w:r>
          </w:p>
        </w:tc>
        <w:tc>
          <w:tcPr>
            <w:tcW w:w="1560" w:type="dxa"/>
            <w:shd w:val="clear" w:color="auto" w:fill="DEE9F2"/>
            <w:tcMar>
              <w:top w:w="60" w:type="dxa"/>
              <w:left w:w="90" w:type="dxa"/>
              <w:bottom w:w="60" w:type="dxa"/>
              <w:right w:w="90" w:type="dxa"/>
            </w:tcMar>
            <w:vAlign w:val="center"/>
          </w:tcPr>
          <w:p w14:paraId="67BCB7DF" w14:textId="77777777" w:rsidR="00495EA2" w:rsidRDefault="00000000">
            <w:pPr>
              <w:jc w:val="right"/>
            </w:pPr>
            <w:r>
              <w:rPr>
                <w:b/>
                <w:bCs/>
                <w:sz w:val="19"/>
                <w:szCs w:val="19"/>
              </w:rPr>
              <w:t>Gasto (€)</w:t>
            </w:r>
          </w:p>
        </w:tc>
      </w:tr>
      <w:tr w:rsidR="00495EA2" w14:paraId="29001CC2" w14:textId="77777777">
        <w:tc>
          <w:tcPr>
            <w:tcW w:w="560" w:type="dxa"/>
            <w:tcMar>
              <w:top w:w="60" w:type="dxa"/>
              <w:left w:w="90" w:type="dxa"/>
              <w:bottom w:w="60" w:type="dxa"/>
              <w:right w:w="90" w:type="dxa"/>
            </w:tcMar>
            <w:vAlign w:val="center"/>
          </w:tcPr>
          <w:p w14:paraId="2C7130CB" w14:textId="77777777" w:rsidR="00495EA2" w:rsidRDefault="00000000">
            <w:pPr>
              <w:jc w:val="center"/>
            </w:pPr>
            <w:r>
              <w:rPr>
                <w:sz w:val="19"/>
                <w:szCs w:val="19"/>
              </w:rPr>
              <w:t>1</w:t>
            </w:r>
          </w:p>
        </w:tc>
        <w:tc>
          <w:tcPr>
            <w:tcW w:w="3450" w:type="dxa"/>
            <w:shd w:val="clear" w:color="auto" w:fill="FFF2CC"/>
            <w:tcMar>
              <w:top w:w="60" w:type="dxa"/>
              <w:left w:w="90" w:type="dxa"/>
              <w:bottom w:w="60" w:type="dxa"/>
              <w:right w:w="90" w:type="dxa"/>
            </w:tcMar>
            <w:vAlign w:val="center"/>
          </w:tcPr>
          <w:p w14:paraId="0D69B13E" w14:textId="77777777" w:rsidR="00495EA2" w:rsidRDefault="00495EA2"/>
        </w:tc>
        <w:tc>
          <w:tcPr>
            <w:tcW w:w="1750" w:type="dxa"/>
            <w:shd w:val="clear" w:color="auto" w:fill="FFF2CC"/>
            <w:tcMar>
              <w:top w:w="60" w:type="dxa"/>
              <w:left w:w="90" w:type="dxa"/>
              <w:bottom w:w="60" w:type="dxa"/>
              <w:right w:w="90" w:type="dxa"/>
            </w:tcMar>
            <w:vAlign w:val="center"/>
          </w:tcPr>
          <w:p w14:paraId="2AC154AB" w14:textId="77777777" w:rsidR="00495EA2" w:rsidRDefault="00495EA2"/>
        </w:tc>
        <w:tc>
          <w:tcPr>
            <w:tcW w:w="1750" w:type="dxa"/>
            <w:shd w:val="clear" w:color="auto" w:fill="FFF2CC"/>
            <w:tcMar>
              <w:top w:w="60" w:type="dxa"/>
              <w:left w:w="90" w:type="dxa"/>
              <w:bottom w:w="60" w:type="dxa"/>
              <w:right w:w="90" w:type="dxa"/>
            </w:tcMar>
            <w:vAlign w:val="center"/>
          </w:tcPr>
          <w:p w14:paraId="55D9DFFD" w14:textId="77777777" w:rsidR="00495EA2" w:rsidRDefault="00495EA2"/>
        </w:tc>
        <w:tc>
          <w:tcPr>
            <w:tcW w:w="1560" w:type="dxa"/>
            <w:shd w:val="clear" w:color="auto" w:fill="FFF2CC"/>
            <w:tcMar>
              <w:top w:w="60" w:type="dxa"/>
              <w:left w:w="90" w:type="dxa"/>
              <w:bottom w:w="60" w:type="dxa"/>
              <w:right w:w="90" w:type="dxa"/>
            </w:tcMar>
            <w:vAlign w:val="center"/>
          </w:tcPr>
          <w:p w14:paraId="2272CBC6" w14:textId="77777777" w:rsidR="00495EA2" w:rsidRDefault="00495EA2">
            <w:pPr>
              <w:jc w:val="right"/>
            </w:pPr>
          </w:p>
        </w:tc>
      </w:tr>
      <w:tr w:rsidR="00495EA2" w14:paraId="5DC9FD01" w14:textId="77777777">
        <w:tc>
          <w:tcPr>
            <w:tcW w:w="560" w:type="dxa"/>
            <w:tcMar>
              <w:top w:w="60" w:type="dxa"/>
              <w:left w:w="90" w:type="dxa"/>
              <w:bottom w:w="60" w:type="dxa"/>
              <w:right w:w="90" w:type="dxa"/>
            </w:tcMar>
            <w:vAlign w:val="center"/>
          </w:tcPr>
          <w:p w14:paraId="045C104D" w14:textId="77777777" w:rsidR="00495EA2" w:rsidRDefault="00000000">
            <w:pPr>
              <w:jc w:val="center"/>
            </w:pPr>
            <w:r>
              <w:rPr>
                <w:sz w:val="19"/>
                <w:szCs w:val="19"/>
              </w:rPr>
              <w:t>2</w:t>
            </w:r>
          </w:p>
        </w:tc>
        <w:tc>
          <w:tcPr>
            <w:tcW w:w="3450" w:type="dxa"/>
            <w:shd w:val="clear" w:color="auto" w:fill="FFF2CC"/>
            <w:tcMar>
              <w:top w:w="60" w:type="dxa"/>
              <w:left w:w="90" w:type="dxa"/>
              <w:bottom w:w="60" w:type="dxa"/>
              <w:right w:w="90" w:type="dxa"/>
            </w:tcMar>
            <w:vAlign w:val="center"/>
          </w:tcPr>
          <w:p w14:paraId="5AEA1AEF" w14:textId="77777777" w:rsidR="00495EA2" w:rsidRDefault="00495EA2"/>
        </w:tc>
        <w:tc>
          <w:tcPr>
            <w:tcW w:w="1750" w:type="dxa"/>
            <w:shd w:val="clear" w:color="auto" w:fill="FFF2CC"/>
            <w:tcMar>
              <w:top w:w="60" w:type="dxa"/>
              <w:left w:w="90" w:type="dxa"/>
              <w:bottom w:w="60" w:type="dxa"/>
              <w:right w:w="90" w:type="dxa"/>
            </w:tcMar>
            <w:vAlign w:val="center"/>
          </w:tcPr>
          <w:p w14:paraId="62182F2B" w14:textId="77777777" w:rsidR="00495EA2" w:rsidRDefault="00495EA2"/>
        </w:tc>
        <w:tc>
          <w:tcPr>
            <w:tcW w:w="1750" w:type="dxa"/>
            <w:shd w:val="clear" w:color="auto" w:fill="FFF2CC"/>
            <w:tcMar>
              <w:top w:w="60" w:type="dxa"/>
              <w:left w:w="90" w:type="dxa"/>
              <w:bottom w:w="60" w:type="dxa"/>
              <w:right w:w="90" w:type="dxa"/>
            </w:tcMar>
            <w:vAlign w:val="center"/>
          </w:tcPr>
          <w:p w14:paraId="54D6777C" w14:textId="77777777" w:rsidR="00495EA2" w:rsidRDefault="00495EA2"/>
        </w:tc>
        <w:tc>
          <w:tcPr>
            <w:tcW w:w="1560" w:type="dxa"/>
            <w:shd w:val="clear" w:color="auto" w:fill="FFF2CC"/>
            <w:tcMar>
              <w:top w:w="60" w:type="dxa"/>
              <w:left w:w="90" w:type="dxa"/>
              <w:bottom w:w="60" w:type="dxa"/>
              <w:right w:w="90" w:type="dxa"/>
            </w:tcMar>
            <w:vAlign w:val="center"/>
          </w:tcPr>
          <w:p w14:paraId="42B2BB58" w14:textId="77777777" w:rsidR="00495EA2" w:rsidRDefault="00495EA2">
            <w:pPr>
              <w:jc w:val="right"/>
            </w:pPr>
          </w:p>
        </w:tc>
      </w:tr>
      <w:tr w:rsidR="00495EA2" w14:paraId="12CC6CFC" w14:textId="77777777">
        <w:tc>
          <w:tcPr>
            <w:tcW w:w="560" w:type="dxa"/>
            <w:tcMar>
              <w:top w:w="60" w:type="dxa"/>
              <w:left w:w="90" w:type="dxa"/>
              <w:bottom w:w="60" w:type="dxa"/>
              <w:right w:w="90" w:type="dxa"/>
            </w:tcMar>
            <w:vAlign w:val="center"/>
          </w:tcPr>
          <w:p w14:paraId="28FBE7A1" w14:textId="77777777" w:rsidR="00495EA2" w:rsidRDefault="00000000">
            <w:pPr>
              <w:jc w:val="center"/>
            </w:pPr>
            <w:r>
              <w:rPr>
                <w:sz w:val="19"/>
                <w:szCs w:val="19"/>
              </w:rPr>
              <w:t>3</w:t>
            </w:r>
          </w:p>
        </w:tc>
        <w:tc>
          <w:tcPr>
            <w:tcW w:w="3450" w:type="dxa"/>
            <w:shd w:val="clear" w:color="auto" w:fill="FFF2CC"/>
            <w:tcMar>
              <w:top w:w="60" w:type="dxa"/>
              <w:left w:w="90" w:type="dxa"/>
              <w:bottom w:w="60" w:type="dxa"/>
              <w:right w:w="90" w:type="dxa"/>
            </w:tcMar>
            <w:vAlign w:val="center"/>
          </w:tcPr>
          <w:p w14:paraId="62F1E447" w14:textId="77777777" w:rsidR="00495EA2" w:rsidRDefault="00495EA2"/>
        </w:tc>
        <w:tc>
          <w:tcPr>
            <w:tcW w:w="1750" w:type="dxa"/>
            <w:shd w:val="clear" w:color="auto" w:fill="FFF2CC"/>
            <w:tcMar>
              <w:top w:w="60" w:type="dxa"/>
              <w:left w:w="90" w:type="dxa"/>
              <w:bottom w:w="60" w:type="dxa"/>
              <w:right w:w="90" w:type="dxa"/>
            </w:tcMar>
            <w:vAlign w:val="center"/>
          </w:tcPr>
          <w:p w14:paraId="74CF5AFF" w14:textId="77777777" w:rsidR="00495EA2" w:rsidRDefault="00495EA2"/>
        </w:tc>
        <w:tc>
          <w:tcPr>
            <w:tcW w:w="1750" w:type="dxa"/>
            <w:shd w:val="clear" w:color="auto" w:fill="FFF2CC"/>
            <w:tcMar>
              <w:top w:w="60" w:type="dxa"/>
              <w:left w:w="90" w:type="dxa"/>
              <w:bottom w:w="60" w:type="dxa"/>
              <w:right w:w="90" w:type="dxa"/>
            </w:tcMar>
            <w:vAlign w:val="center"/>
          </w:tcPr>
          <w:p w14:paraId="51E2D55B" w14:textId="77777777" w:rsidR="00495EA2" w:rsidRDefault="00495EA2"/>
        </w:tc>
        <w:tc>
          <w:tcPr>
            <w:tcW w:w="1560" w:type="dxa"/>
            <w:shd w:val="clear" w:color="auto" w:fill="FFF2CC"/>
            <w:tcMar>
              <w:top w:w="60" w:type="dxa"/>
              <w:left w:w="90" w:type="dxa"/>
              <w:bottom w:w="60" w:type="dxa"/>
              <w:right w:w="90" w:type="dxa"/>
            </w:tcMar>
            <w:vAlign w:val="center"/>
          </w:tcPr>
          <w:p w14:paraId="061FF37B" w14:textId="77777777" w:rsidR="00495EA2" w:rsidRDefault="00495EA2">
            <w:pPr>
              <w:jc w:val="right"/>
            </w:pPr>
          </w:p>
        </w:tc>
      </w:tr>
      <w:tr w:rsidR="00495EA2" w14:paraId="6AA9E520" w14:textId="77777777">
        <w:tc>
          <w:tcPr>
            <w:tcW w:w="560" w:type="dxa"/>
            <w:tcMar>
              <w:top w:w="60" w:type="dxa"/>
              <w:left w:w="90" w:type="dxa"/>
              <w:bottom w:w="60" w:type="dxa"/>
              <w:right w:w="90" w:type="dxa"/>
            </w:tcMar>
            <w:vAlign w:val="center"/>
          </w:tcPr>
          <w:p w14:paraId="477DB4F8" w14:textId="77777777" w:rsidR="00495EA2" w:rsidRDefault="00000000">
            <w:pPr>
              <w:jc w:val="center"/>
            </w:pPr>
            <w:r>
              <w:rPr>
                <w:sz w:val="19"/>
                <w:szCs w:val="19"/>
              </w:rPr>
              <w:t>4</w:t>
            </w:r>
          </w:p>
        </w:tc>
        <w:tc>
          <w:tcPr>
            <w:tcW w:w="3450" w:type="dxa"/>
            <w:shd w:val="clear" w:color="auto" w:fill="FFF2CC"/>
            <w:tcMar>
              <w:top w:w="60" w:type="dxa"/>
              <w:left w:w="90" w:type="dxa"/>
              <w:bottom w:w="60" w:type="dxa"/>
              <w:right w:w="90" w:type="dxa"/>
            </w:tcMar>
            <w:vAlign w:val="center"/>
          </w:tcPr>
          <w:p w14:paraId="3C947B7D" w14:textId="77777777" w:rsidR="00495EA2" w:rsidRDefault="00495EA2"/>
        </w:tc>
        <w:tc>
          <w:tcPr>
            <w:tcW w:w="1750" w:type="dxa"/>
            <w:shd w:val="clear" w:color="auto" w:fill="FFF2CC"/>
            <w:tcMar>
              <w:top w:w="60" w:type="dxa"/>
              <w:left w:w="90" w:type="dxa"/>
              <w:bottom w:w="60" w:type="dxa"/>
              <w:right w:w="90" w:type="dxa"/>
            </w:tcMar>
            <w:vAlign w:val="center"/>
          </w:tcPr>
          <w:p w14:paraId="27524BBE" w14:textId="77777777" w:rsidR="00495EA2" w:rsidRDefault="00495EA2"/>
        </w:tc>
        <w:tc>
          <w:tcPr>
            <w:tcW w:w="1750" w:type="dxa"/>
            <w:shd w:val="clear" w:color="auto" w:fill="FFF2CC"/>
            <w:tcMar>
              <w:top w:w="60" w:type="dxa"/>
              <w:left w:w="90" w:type="dxa"/>
              <w:bottom w:w="60" w:type="dxa"/>
              <w:right w:w="90" w:type="dxa"/>
            </w:tcMar>
            <w:vAlign w:val="center"/>
          </w:tcPr>
          <w:p w14:paraId="1B308FFE" w14:textId="77777777" w:rsidR="00495EA2" w:rsidRDefault="00495EA2"/>
        </w:tc>
        <w:tc>
          <w:tcPr>
            <w:tcW w:w="1560" w:type="dxa"/>
            <w:shd w:val="clear" w:color="auto" w:fill="FFF2CC"/>
            <w:tcMar>
              <w:top w:w="60" w:type="dxa"/>
              <w:left w:w="90" w:type="dxa"/>
              <w:bottom w:w="60" w:type="dxa"/>
              <w:right w:w="90" w:type="dxa"/>
            </w:tcMar>
            <w:vAlign w:val="center"/>
          </w:tcPr>
          <w:p w14:paraId="3110C031" w14:textId="77777777" w:rsidR="00495EA2" w:rsidRDefault="00495EA2">
            <w:pPr>
              <w:jc w:val="right"/>
            </w:pPr>
          </w:p>
        </w:tc>
      </w:tr>
      <w:tr w:rsidR="00495EA2" w14:paraId="1A6B8778" w14:textId="77777777">
        <w:tc>
          <w:tcPr>
            <w:tcW w:w="560" w:type="dxa"/>
            <w:tcMar>
              <w:top w:w="60" w:type="dxa"/>
              <w:left w:w="90" w:type="dxa"/>
              <w:bottom w:w="60" w:type="dxa"/>
              <w:right w:w="90" w:type="dxa"/>
            </w:tcMar>
            <w:vAlign w:val="center"/>
          </w:tcPr>
          <w:p w14:paraId="12C7E7DA" w14:textId="77777777" w:rsidR="00495EA2" w:rsidRDefault="00000000">
            <w:pPr>
              <w:jc w:val="center"/>
            </w:pPr>
            <w:r>
              <w:rPr>
                <w:sz w:val="19"/>
                <w:szCs w:val="19"/>
              </w:rPr>
              <w:t>5</w:t>
            </w:r>
          </w:p>
        </w:tc>
        <w:tc>
          <w:tcPr>
            <w:tcW w:w="3450" w:type="dxa"/>
            <w:shd w:val="clear" w:color="auto" w:fill="FFF2CC"/>
            <w:tcMar>
              <w:top w:w="60" w:type="dxa"/>
              <w:left w:w="90" w:type="dxa"/>
              <w:bottom w:w="60" w:type="dxa"/>
              <w:right w:w="90" w:type="dxa"/>
            </w:tcMar>
            <w:vAlign w:val="center"/>
          </w:tcPr>
          <w:p w14:paraId="1A1646E7" w14:textId="77777777" w:rsidR="00495EA2" w:rsidRDefault="00495EA2"/>
        </w:tc>
        <w:tc>
          <w:tcPr>
            <w:tcW w:w="1750" w:type="dxa"/>
            <w:shd w:val="clear" w:color="auto" w:fill="FFF2CC"/>
            <w:tcMar>
              <w:top w:w="60" w:type="dxa"/>
              <w:left w:w="90" w:type="dxa"/>
              <w:bottom w:w="60" w:type="dxa"/>
              <w:right w:w="90" w:type="dxa"/>
            </w:tcMar>
            <w:vAlign w:val="center"/>
          </w:tcPr>
          <w:p w14:paraId="63AAC1F0" w14:textId="77777777" w:rsidR="00495EA2" w:rsidRDefault="00495EA2"/>
        </w:tc>
        <w:tc>
          <w:tcPr>
            <w:tcW w:w="1750" w:type="dxa"/>
            <w:shd w:val="clear" w:color="auto" w:fill="FFF2CC"/>
            <w:tcMar>
              <w:top w:w="60" w:type="dxa"/>
              <w:left w:w="90" w:type="dxa"/>
              <w:bottom w:w="60" w:type="dxa"/>
              <w:right w:w="90" w:type="dxa"/>
            </w:tcMar>
            <w:vAlign w:val="center"/>
          </w:tcPr>
          <w:p w14:paraId="28DF12F8" w14:textId="77777777" w:rsidR="00495EA2" w:rsidRDefault="00495EA2"/>
        </w:tc>
        <w:tc>
          <w:tcPr>
            <w:tcW w:w="1560" w:type="dxa"/>
            <w:shd w:val="clear" w:color="auto" w:fill="FFF2CC"/>
            <w:tcMar>
              <w:top w:w="60" w:type="dxa"/>
              <w:left w:w="90" w:type="dxa"/>
              <w:bottom w:w="60" w:type="dxa"/>
              <w:right w:w="90" w:type="dxa"/>
            </w:tcMar>
            <w:vAlign w:val="center"/>
          </w:tcPr>
          <w:p w14:paraId="10E77476" w14:textId="77777777" w:rsidR="00495EA2" w:rsidRDefault="00495EA2">
            <w:pPr>
              <w:jc w:val="right"/>
            </w:pPr>
          </w:p>
        </w:tc>
      </w:tr>
      <w:tr w:rsidR="00495EA2" w14:paraId="3F69E928" w14:textId="77777777">
        <w:tc>
          <w:tcPr>
            <w:tcW w:w="560" w:type="dxa"/>
            <w:shd w:val="clear" w:color="auto" w:fill="F2F2F2"/>
            <w:tcMar>
              <w:top w:w="60" w:type="dxa"/>
              <w:left w:w="90" w:type="dxa"/>
              <w:bottom w:w="60" w:type="dxa"/>
              <w:right w:w="90" w:type="dxa"/>
            </w:tcMar>
            <w:vAlign w:val="center"/>
          </w:tcPr>
          <w:p w14:paraId="2A38CDB4" w14:textId="77777777" w:rsidR="00495EA2" w:rsidRDefault="00495EA2"/>
        </w:tc>
        <w:tc>
          <w:tcPr>
            <w:tcW w:w="3450" w:type="dxa"/>
            <w:shd w:val="clear" w:color="auto" w:fill="F2F2F2"/>
            <w:tcMar>
              <w:top w:w="60" w:type="dxa"/>
              <w:left w:w="90" w:type="dxa"/>
              <w:bottom w:w="60" w:type="dxa"/>
              <w:right w:w="90" w:type="dxa"/>
            </w:tcMar>
            <w:vAlign w:val="center"/>
          </w:tcPr>
          <w:p w14:paraId="60383453" w14:textId="77777777" w:rsidR="00495EA2" w:rsidRDefault="00000000">
            <w:r>
              <w:rPr>
                <w:b/>
                <w:bCs/>
                <w:sz w:val="19"/>
                <w:szCs w:val="19"/>
              </w:rPr>
              <w:t>TOTAL</w:t>
            </w:r>
          </w:p>
        </w:tc>
        <w:tc>
          <w:tcPr>
            <w:tcW w:w="1750" w:type="dxa"/>
            <w:shd w:val="clear" w:color="auto" w:fill="F2F2F2"/>
            <w:tcMar>
              <w:top w:w="60" w:type="dxa"/>
              <w:left w:w="90" w:type="dxa"/>
              <w:bottom w:w="60" w:type="dxa"/>
              <w:right w:w="90" w:type="dxa"/>
            </w:tcMar>
            <w:vAlign w:val="center"/>
          </w:tcPr>
          <w:p w14:paraId="673C4E5C" w14:textId="77777777" w:rsidR="00495EA2" w:rsidRDefault="00495EA2"/>
        </w:tc>
        <w:tc>
          <w:tcPr>
            <w:tcW w:w="1750" w:type="dxa"/>
            <w:shd w:val="clear" w:color="auto" w:fill="F2F2F2"/>
            <w:tcMar>
              <w:top w:w="60" w:type="dxa"/>
              <w:left w:w="90" w:type="dxa"/>
              <w:bottom w:w="60" w:type="dxa"/>
              <w:right w:w="90" w:type="dxa"/>
            </w:tcMar>
            <w:vAlign w:val="center"/>
          </w:tcPr>
          <w:p w14:paraId="0F970314" w14:textId="77777777" w:rsidR="00495EA2" w:rsidRDefault="00495EA2"/>
        </w:tc>
        <w:tc>
          <w:tcPr>
            <w:tcW w:w="1560" w:type="dxa"/>
            <w:shd w:val="clear" w:color="auto" w:fill="FFF2CC"/>
            <w:tcMar>
              <w:top w:w="60" w:type="dxa"/>
              <w:left w:w="90" w:type="dxa"/>
              <w:bottom w:w="60" w:type="dxa"/>
              <w:right w:w="90" w:type="dxa"/>
            </w:tcMar>
            <w:vAlign w:val="center"/>
          </w:tcPr>
          <w:p w14:paraId="2F5DE012" w14:textId="77777777" w:rsidR="00495EA2" w:rsidRDefault="00495EA2">
            <w:pPr>
              <w:jc w:val="right"/>
            </w:pPr>
          </w:p>
        </w:tc>
      </w:tr>
    </w:tbl>
    <w:p w14:paraId="5D227C78" w14:textId="77777777" w:rsidR="00495EA2" w:rsidRDefault="00000000">
      <w:pPr>
        <w:spacing w:before="200" w:after="300" w:line="276" w:lineRule="auto"/>
        <w:jc w:val="both"/>
      </w:pPr>
      <w:r>
        <w:rPr>
          <w:i/>
          <w:iCs/>
          <w:sz w:val="19"/>
          <w:szCs w:val="19"/>
        </w:rPr>
        <w:t>El reclamante hace constar que los importes de la última columna se corresponden con los justificantes relacionados en el cuadro de gastos del hecho quinto y con los documentos que se acompañan.</w:t>
      </w:r>
    </w:p>
    <w:p w14:paraId="0F0DF8BD" w14:textId="77777777" w:rsidR="00495EA2" w:rsidRDefault="00495EA2">
      <w:pPr>
        <w:pBdr>
          <w:bottom w:val="single" w:sz="6" w:space="4" w:color="AAAAAA"/>
        </w:pBdr>
        <w:spacing w:before="200" w:after="100"/>
      </w:pPr>
    </w:p>
    <w:p w14:paraId="260C28C7" w14:textId="77777777" w:rsidR="00495EA2" w:rsidRDefault="00000000">
      <w:pPr>
        <w:spacing w:after="40"/>
        <w:jc w:val="center"/>
      </w:pPr>
      <w:r>
        <w:rPr>
          <w:color w:val="767171"/>
          <w:sz w:val="17"/>
          <w:szCs w:val="17"/>
        </w:rPr>
        <w:t xml:space="preserve">Modelo elaborado y difundido por </w:t>
      </w:r>
      <w:hyperlink r:id="rId7" w:history="1">
        <w:r w:rsidR="00495EA2">
          <w:rPr>
            <w:b/>
            <w:bCs/>
            <w:color w:val="2E5C8A"/>
            <w:sz w:val="17"/>
            <w:szCs w:val="17"/>
          </w:rPr>
          <w:t>www.alquilerviviendavacacional.com</w:t>
        </w:r>
      </w:hyperlink>
    </w:p>
    <w:p w14:paraId="3B852406" w14:textId="77777777" w:rsidR="00495EA2" w:rsidRDefault="00000000">
      <w:pPr>
        <w:spacing w:after="120" w:line="276" w:lineRule="auto"/>
        <w:jc w:val="center"/>
      </w:pPr>
      <w:r>
        <w:rPr>
          <w:i/>
          <w:iCs/>
          <w:color w:val="767171"/>
          <w:sz w:val="16"/>
          <w:szCs w:val="16"/>
        </w:rPr>
        <w:t>Su reproducción y difusión son libres siempre que se conserve esta indicación de autoría.</w:t>
      </w:r>
    </w:p>
    <w:sectPr w:rsidR="00495EA2">
      <w:headerReference w:type="default" r:id="rId8"/>
      <w:footerReference w:type="default" r:id="rId9"/>
      <w:pgSz w:w="11906" w:h="16838"/>
      <w:pgMar w:top="1360" w:right="1417" w:bottom="1133" w:left="158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2F9EBF" w14:textId="77777777" w:rsidR="00EF55C9" w:rsidRDefault="00EF55C9">
      <w:r>
        <w:separator/>
      </w:r>
    </w:p>
  </w:endnote>
  <w:endnote w:type="continuationSeparator" w:id="0">
    <w:p w14:paraId="12182B74" w14:textId="77777777" w:rsidR="00EF55C9" w:rsidRDefault="00EF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0953EE" w14:textId="77777777" w:rsidR="00495EA2" w:rsidRDefault="00495EA2">
    <w:pPr>
      <w:pBdr>
        <w:top w:val="single" w:sz="4" w:space="4" w:color="BBBBBB"/>
      </w:pBdr>
      <w:spacing w:before="60"/>
      <w:jc w:val="center"/>
    </w:pPr>
    <w:hyperlink r:id="rId1" w:history="1">
      <w:r>
        <w:rPr>
          <w:b/>
          <w:bCs/>
          <w:color w:val="2E5C8A"/>
          <w:sz w:val="16"/>
          <w:szCs w:val="16"/>
        </w:rPr>
        <w:t>www.alquilerviviendavacacional.com</w:t>
      </w:r>
    </w:hyperlink>
    <w:r w:rsidR="00000000">
      <w:rPr>
        <w:color w:val="666666"/>
        <w:sz w:val="16"/>
        <w:szCs w:val="16"/>
      </w:rPr>
      <w:t xml:space="preserve">     ·     Página </w:t>
    </w:r>
    <w:r w:rsidR="00000000">
      <w:rPr>
        <w:color w:val="666666"/>
        <w:sz w:val="16"/>
        <w:szCs w:val="16"/>
      </w:rPr>
      <w:fldChar w:fldCharType="begin"/>
    </w:r>
    <w:r w:rsidR="00000000">
      <w:rPr>
        <w:color w:val="666666"/>
        <w:sz w:val="16"/>
        <w:szCs w:val="16"/>
      </w:rPr>
      <w:instrText>PAGE</w:instrText>
    </w:r>
    <w:r w:rsidR="00000000">
      <w:rPr>
        <w:color w:val="666666"/>
        <w:sz w:val="16"/>
        <w:szCs w:val="16"/>
      </w:rPr>
      <w:fldChar w:fldCharType="separate"/>
    </w:r>
    <w:r w:rsidR="008A3B5F">
      <w:rPr>
        <w:noProof/>
        <w:color w:val="666666"/>
        <w:sz w:val="16"/>
        <w:szCs w:val="16"/>
      </w:rPr>
      <w:t>1</w:t>
    </w:r>
    <w:r w:rsidR="00000000">
      <w:rPr>
        <w:color w:val="666666"/>
        <w:sz w:val="16"/>
        <w:szCs w:val="16"/>
      </w:rPr>
      <w:fldChar w:fldCharType="end"/>
    </w:r>
    <w:r w:rsidR="00000000">
      <w:rPr>
        <w:color w:val="666666"/>
        <w:sz w:val="16"/>
        <w:szCs w:val="16"/>
      </w:rPr>
      <w:t xml:space="preserve"> de </w:t>
    </w:r>
    <w:r w:rsidR="00000000">
      <w:rPr>
        <w:color w:val="666666"/>
        <w:sz w:val="16"/>
        <w:szCs w:val="16"/>
      </w:rPr>
      <w:fldChar w:fldCharType="begin"/>
    </w:r>
    <w:r w:rsidR="00000000">
      <w:rPr>
        <w:color w:val="666666"/>
        <w:sz w:val="16"/>
        <w:szCs w:val="16"/>
      </w:rPr>
      <w:instrText>NUMPAGES</w:instrText>
    </w:r>
    <w:r w:rsidR="00000000">
      <w:rPr>
        <w:color w:val="666666"/>
        <w:sz w:val="16"/>
        <w:szCs w:val="16"/>
      </w:rPr>
      <w:fldChar w:fldCharType="separate"/>
    </w:r>
    <w:r w:rsidR="008A3B5F">
      <w:rPr>
        <w:noProof/>
        <w:color w:val="666666"/>
        <w:sz w:val="16"/>
        <w:szCs w:val="16"/>
      </w:rPr>
      <w:t>2</w:t>
    </w:r>
    <w:r w:rsidR="00000000">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BED329" w14:textId="77777777" w:rsidR="00EF55C9" w:rsidRDefault="00EF55C9">
      <w:r>
        <w:separator/>
      </w:r>
    </w:p>
  </w:footnote>
  <w:footnote w:type="continuationSeparator" w:id="0">
    <w:p w14:paraId="55D6D50C" w14:textId="77777777" w:rsidR="00EF55C9" w:rsidRDefault="00EF55C9">
      <w:r>
        <w:continuationSeparator/>
      </w:r>
    </w:p>
  </w:footnote>
  <w:footnote w:id="1">
    <w:p w14:paraId="2E23D2DF"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CÓMO SE RELLENA ESTE MODELO. (1) Sustituya todos los campos resaltados en amarillo por sus datos. (2) En los bloques de casillas marque la que corresponda —escriba una X dentro— y borre las demás líneas. (3) Suprima íntegramente los bloques rotulados como OPCIONAL cuando no correspondan a su caso. (4) Antes de presentar el escrito, borre el recuadro de instrucciones y TODAS las notas a pie de página: son guía de cumplimentación y no forman parte de la reclamación. Este formulario es un modelo general de orientación; su adecuación al caso concreto exige revisión profesional previa.</w:t>
      </w:r>
    </w:p>
  </w:footnote>
  <w:footnote w:id="2">
    <w:p w14:paraId="2F5D7B39"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DÓNDE SE PRESENTA. Preferentemente en el Registro Electrónico General de la Administración General del Estado, seleccionando como organismo destinatario el Ministerio de Vivienda y Agenda Urbana; también sirve cualquiera de las oficinas y medios del artículo 16.4 de la Ley 39/2015 (oficinas de asistencia en materia de registros, oficinas de Correos por correo administrativo, representaciones diplomáticas). Descargue y conserve el justificante de presentación con su sello de fecha y hora: es el documento que acredita que reclamó en plazo.</w:t>
      </w:r>
    </w:p>
  </w:footnote>
  <w:footnote w:id="3">
    <w:p w14:paraId="304CF4C0"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QUIÉN FIRMA. Debe reclamar quien efectivamente soportó el gasto en su patrimonio y figura como destinatario de las facturas y minutas. Si el pago lo adelantó una gestora o empresa de gestión y después lo repercutió al propietario, reclama el propietario aportando la factura repercutida; si no lo repercutió, reclama la propia gestora. Consigne un correo electrónico y un teléfono que consulte con regularidad.</w:t>
      </w:r>
    </w:p>
  </w:footnote>
  <w:footnote w:id="4">
    <w:p w14:paraId="135648B0"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REPRESENTACIÓN. Bloque OPCIONAL: suprímalo íntegramente si actúa en nombre propio. Si actúa por otro o en nombre de una sociedad, acredite la representación por cualquiera de los medios del artículo 5 de la Ley 39/2015 (escritura de poder, apoderamiento apud acta electrónico o inscripción en el Registro Electrónico de Apoderamientos) y acompáñela como documento nº 1.</w:t>
      </w:r>
    </w:p>
  </w:footnote>
  <w:footnote w:id="5">
    <w:p w14:paraId="702F40BB"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IMPORTE RECLAMADO. Debe coincidir exactamente con el total del cuadro del hecho quinto y con el importe del apartado 3 de la solicitud. Revise las tres cifras antes de firmar: la discordancia entre ellas es uno de los defectos que con más frecuencia motiva requerimientos de subsanación.</w:t>
      </w:r>
    </w:p>
  </w:footnote>
  <w:footnote w:id="6">
    <w:p w14:paraId="5FD339FF"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CONDICIÓN DEL RECLAMANTE. Marque una sola casilla y borre las restantes. Los datos de dirección y referencia catastral figuran en el recibo del IBI o en la sede electrónica del Catastro.</w:t>
      </w:r>
    </w:p>
  </w:footnote>
  <w:footnote w:id="7">
    <w:p w14:paraId="4564D36A"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REGISTRO AUTONÓMICO. Si su vivienda ya estaba inscrita en el registro turístico de su Comunidad Autónoma, indíquelo: refuerza el argumento de duplicidad de cargas, porque acredita que el sistema estatal se superpuso a un control administrativo preexistente. Si no lo estaba, suprima el párrafo entero.</w:t>
      </w:r>
    </w:p>
  </w:footnote>
  <w:footnote w:id="8">
    <w:p w14:paraId="480F52F0"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VARIAS VIVIENDAS. Puede reclamar por todas ellas en un único escrito. En ese caso marque esta casilla y cumplimente el Anexo del final, con una fila por inmueble; el total del Anexo debe coincidir con el total del cuadro de gastos.</w:t>
      </w:r>
    </w:p>
  </w:footnote>
  <w:footnote w:id="9">
    <w:p w14:paraId="0EED9B54"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DATOS DE LA SOLICITUD. La fecha de solicitud, el Registro interviniente y el número asignado constan en la comunicación registral que recibió y en la propia minuta u hoja de liquidación de honorarios. Si no conserva esa documentación, solicítela al Registro de la Propiedad que tramitó su expediente antes de presentar la reclamación.</w:t>
      </w:r>
    </w:p>
  </w:footnote>
  <w:footnote w:id="10">
    <w:p w14:paraId="4C6CACB2"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DEPÓSITO ANUAL DE ARRENDAMIENTOS. Éste es el hecho decisivo del modelo y conviene no suprimirlo si le afectó. El artículo 10.4 del Real Decreto obligaba a aportar cada doce meses el modelo informativo de arrendamientos de corta duración —listado anonimizado de los arrendamientos constituidos y finalidad de cada uno—, y el artículo 10.5 preveía la retirada del número de registro en caso de incumplimiento, con el consiguiente bloqueo de los anuncios. No era, por tanto, un trámite voluntario: era la condición de continuidad del NRUA. Si todavía no había llegado a presentar ningún depósito, suprima este hecho tercero y conserve sólo los gastos de obtención.</w:t>
      </w:r>
    </w:p>
  </w:footnote>
  <w:footnote w:id="11">
    <w:p w14:paraId="002A17F0"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ACTUALIZACIONES Y SUBSANACIONES. Bloque OPCIONAL: suprímalo si nunca modificó datos ni tuvo que subsanar defectos. Se incluyen aquí las subsanaciones de defectos advertidos en la calificación registral (artículo 10.2), los cambios de datos de la unidad o del titular (artículos 5.d y 9.4) y la conversión de un número provisional en definitivo. Si hubo varias actuaciones, relaciónelas por fechas.</w:t>
      </w:r>
    </w:p>
  </w:footnote>
  <w:footnote w:id="12">
    <w:p w14:paraId="69E4FB8C"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CÓMO RELLENAR EL CUADRO. Consigne una línea por cada factura o minuta: fecha en que pagó, identificación del justificante (número de factura o de minuta) e importe con dos decimales. Numere los justificantes de forma coincidente con la relación de documentos. Suprima las filas que no correspondan a su caso y sume el total. Regla práctica: sólo debe figurar aquí el gasto que no habría existido si nunca hubiera existido el procedimiento estatal de registro único. No incluya tasas, cánones o gastos de licencia turística autonómica o municipal, ni costes de la actividad ordinaria de alquiler: son ajenos al NRUA y debilitan la reclamación.</w:t>
      </w:r>
    </w:p>
  </w:footnote>
  <w:footnote w:id="13">
    <w:p w14:paraId="10930DE5"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IVA. Si usted es empresario o profesional con derecho a deducir el IVA soportado, esa cuota no constituye daño indemnizable: suprima esa fila. Manténgala únicamente si el IVA supuso para usted un coste real y definitivo (particular sin actividad económica o sujeto en régimen que no permita la deducción).</w:t>
      </w:r>
    </w:p>
  </w:footnote>
  <w:footnote w:id="14">
    <w:p w14:paraId="7488B87F"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NO MODIFIQUE ESTE HECHO. Reproduce los fallos y la razón de decidir del Tribunal Supremo y constituye el soporte objetivo de toda la reclamación. Obsérvese que los dos preceptos de los que nacen los gastos reclamados —el artículo 9, obtención del número, y el artículo 10, verificación y depósito anual— figuran expresamente entre los anulados. La relación de sentencias no es cerrada: la Sala Tercera resolvió en el mismo sentido otros recursos frente al mismo Real Decreto, y pueden localizarse todas ellas en el buscador de jurisprudencia del Consejo General del Poder Judicial (CENDOJ) buscando «Real Decreto 1312/2024». Si conoce alguna sentencia adicional que le afecte más de cerca —por ejemplo, la recaída sobre el recurso de una asociación de su propia Comunidad Autónoma—, añádala a la lista. Conviene acompañar como anexo, al menos, la STS 620/2026 (ECLI:ES:TS:2026:2148).</w:t>
      </w:r>
    </w:p>
  </w:footnote>
  <w:footnote w:id="15">
    <w:p w14:paraId="3C1AC3B8"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DECLARACIÓN RESPONSABLE. Verifique que es cierta antes de firmar. Si el Registro le devolvió parcialmente algún importe, o si su seguro o su gestora le compensaron, debe descontarlo del importe reclamado y hacerlo constar. La inexactitud u omisión de datos esenciales en una declaración responsable produce los efectos del artículo 69.4 de la Ley 39/2015. No es requisito previo haber pedido antes la devolución al Registro; si lo hizo y se la denegaron, acompañe esa denegación: refuerza la reclamación.</w:t>
      </w:r>
    </w:p>
  </w:footnote>
  <w:footnote w:id="16">
    <w:p w14:paraId="69D32CC1"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ADMINISTRACIÓN RECLAMADA. El escrito se dirige al Ministerio de Vivienda y Agenda Urbana por ser el departamento proponente del Real Decreto anulado. Si además desea accionar frente a la estructura registral que materializó el sistema, puede presentar un escrito idéntico ante el Ministerio de la Presidencia, Justicia y Relaciones con las Cortes, haciéndolo constar en ambos para evitar duplicidades. No suprima en ningún caso la invocación del artículo 33 de la Ley 40/2015 ni la petición subsidiaria de remisión al órgano competente: evita que la reclamación se archive por un problema de destinatario.</w:t>
      </w:r>
    </w:p>
  </w:footnote>
  <w:footnote w:id="17">
    <w:p w14:paraId="6568C9D1"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PLAZO. Es de un año desde la notificación de la sentencia definitiva (artículo 67.1, párrafo segundo, de la Ley 39/2015). Dictada la sentencia el 19 de mayo de 2026, no conviene apurar el plazo. Si tiene dudas sobre la fecha exacta de notificación o de firmeza, hágalo constar así en el escrito y presente cuanto antes: la presentación en plazo se acredita con el justificante de registro.</w:t>
      </w:r>
    </w:p>
  </w:footnote>
  <w:footnote w:id="18">
    <w:p w14:paraId="001351BD"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NÚCLEO DE LA RECLAMACIÓN. Éste es el fundamento decisivo y no debe suprimirse ni resumirse. Toda la reclamación descansa en que el Tribunal Supremo no corrigió un defecto formal, sino que declaró la falta de competencia del Estado para establecer el procedimiento de registro único: de ahí que el coste soportado para entrar y permanecer en ese sistema no sea una carga que el ciudadano tuviera el deber jurídico de tolerar.</w:t>
      </w:r>
    </w:p>
  </w:footnote>
  <w:footnote w:id="19">
    <w:p w14:paraId="003367FA"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OBJECIÓN PREVISIBLE. Conserve este apartado: anticipa el principal argumento de la defensa, esto es, que el dinero lo percibió el Registrador y no el Estado. En responsabilidad patrimonial no se reclama la devolución de lo cobrado a quien lo cobró, sino la reparación del daño frente a quien lo provocó con su actuación normativa.</w:t>
      </w:r>
    </w:p>
  </w:footnote>
  <w:footnote w:id="20">
    <w:p w14:paraId="4F288AA8"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CUANTÍA Y DICTAMEN. El dictamen del Consejo de Estado sólo es preceptivo cuando la indemnización reclamada sea igual o superior a 50.000 euros (artículo 81.2 de la Ley 39/2015); por debajo de esa cifra la tramitación es más ágil. Si acumula varias viviendas y supera ese umbral, tenga presente que el procedimiento se alargará.</w:t>
      </w:r>
    </w:p>
  </w:footnote>
  <w:footnote w:id="21">
    <w:p w14:paraId="615C364D"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DOCUMENTOS. Suprima de la lista los que no aporte y renumere el resto de forma correlativa, manteniendo la coincidencia con las referencias del cuadro de gastos. Los justificantes esenciales, sin los cuales la reclamación difícilmente prosperará, son la minuta o factura registral y el justificante bancario de su pago. Presente los documentos en PDF y con nombres de archivo identificativos.</w:t>
      </w:r>
    </w:p>
  </w:footnote>
  <w:footnote w:id="22">
    <w:p w14:paraId="299C0137"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NO SUPRIMA ESTE OTROSÍ. Es la cláusula que preserva su derecho a reclamar más adelante los restantes daños (lucro cesante, pérdida de reservas, bloqueo de anuncios, costes de adaptación) sin que puedan entenderse renunciados por haber limitado ahora la reclamación a los gastos registrales.</w:t>
      </w:r>
    </w:p>
  </w:footnote>
  <w:footnote w:id="23">
    <w:p w14:paraId="60E75B44"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SILENCIO Y VÍA JUDICIAL. Si transcurren seis meses desde la presentación sin resolución expresa, la reclamación se entiende desestimada (artículo 91.3 de la Ley 39/2015) y queda abierta la vía contencioso-administrativa, sin perjuicio de que la Administración siga obligada a resolver. Anote en su agenda la fecha en que se cumplen esos seis meses.</w:t>
      </w:r>
    </w:p>
  </w:footnote>
  <w:footnote w:id="24">
    <w:p w14:paraId="26A53A10"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 xml:space="preserve">FECHA Y FIRMA. Consigne la fecha real de presentación. Si presenta por vía electrónica, la firma se produce con su certificado o con </w:t>
      </w:r>
      <w:proofErr w:type="spellStart"/>
      <w:r>
        <w:rPr>
          <w:color w:val="404040"/>
          <w:sz w:val="16"/>
          <w:szCs w:val="16"/>
        </w:rPr>
        <w:t>Cl@ve</w:t>
      </w:r>
      <w:proofErr w:type="spellEnd"/>
      <w:r>
        <w:rPr>
          <w:color w:val="404040"/>
          <w:sz w:val="16"/>
          <w:szCs w:val="16"/>
        </w:rPr>
        <w:t xml:space="preserve"> y no es preciso firmar de forma manuscrita; si presenta en papel, firme todas las hojas y conserve una copia sellada.</w:t>
      </w:r>
    </w:p>
  </w:footnote>
  <w:footnote w:id="25">
    <w:p w14:paraId="2BB1430B" w14:textId="77777777" w:rsidR="00495EA2" w:rsidRDefault="00000000">
      <w:pPr>
        <w:spacing w:after="60"/>
        <w:jc w:val="both"/>
      </w:pPr>
      <w:r>
        <w:rPr>
          <w:rStyle w:val="Refdenotaalpie"/>
        </w:rPr>
        <w:footnoteRef/>
      </w:r>
      <w:r>
        <w:rPr>
          <w:b/>
          <w:bCs/>
          <w:color w:val="767171"/>
          <w:sz w:val="16"/>
          <w:szCs w:val="16"/>
        </w:rPr>
        <w:t xml:space="preserve"> GUÍA — </w:t>
      </w:r>
      <w:r>
        <w:rPr>
          <w:color w:val="404040"/>
          <w:sz w:val="16"/>
          <w:szCs w:val="16"/>
        </w:rPr>
        <w:t>ANEXO. Bloque OPCIONAL: cumpliméntelo sólo si reclama por más de una unidad de alojamiento y suprima esta página en caso contrario. Añada tantas filas como necesite. El total de la última columna debe coincidir con el total del cuadro de gastos del hecho quinto.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23277" w14:textId="77777777" w:rsidR="00495EA2" w:rsidRDefault="00000000">
    <w:pPr>
      <w:pBdr>
        <w:bottom w:val="single" w:sz="4" w:space="3" w:color="BBBBBB"/>
      </w:pBdr>
      <w:spacing w:after="60"/>
      <w:jc w:val="right"/>
    </w:pPr>
    <w:r>
      <w:rPr>
        <w:i/>
        <w:iCs/>
        <w:color w:val="666666"/>
        <w:sz w:val="15"/>
        <w:szCs w:val="15"/>
      </w:rPr>
      <w:t>Reclamación de responsabilidad patrimonial — gastos de obtención y mantenimiento del NRUA (STS 620/2026 y concordantes)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B52D42"/>
    <w:multiLevelType w:val="hybridMultilevel"/>
    <w:tmpl w:val="10D63C4C"/>
    <w:lvl w:ilvl="0" w:tplc="ABBCC7DA">
      <w:start w:val="1"/>
      <w:numFmt w:val="bullet"/>
      <w:lvlText w:val="—"/>
      <w:lvlJc w:val="left"/>
      <w:pPr>
        <w:ind w:left="700" w:hanging="300"/>
      </w:pPr>
    </w:lvl>
    <w:lvl w:ilvl="1" w:tplc="9A24EC62">
      <w:numFmt w:val="decimal"/>
      <w:lvlText w:val=""/>
      <w:lvlJc w:val="left"/>
    </w:lvl>
    <w:lvl w:ilvl="2" w:tplc="FFD408DE">
      <w:numFmt w:val="decimal"/>
      <w:lvlText w:val=""/>
      <w:lvlJc w:val="left"/>
    </w:lvl>
    <w:lvl w:ilvl="3" w:tplc="82FA516A">
      <w:numFmt w:val="decimal"/>
      <w:lvlText w:val=""/>
      <w:lvlJc w:val="left"/>
    </w:lvl>
    <w:lvl w:ilvl="4" w:tplc="AAEE0A98">
      <w:numFmt w:val="decimal"/>
      <w:lvlText w:val=""/>
      <w:lvlJc w:val="left"/>
    </w:lvl>
    <w:lvl w:ilvl="5" w:tplc="E7A89B60">
      <w:numFmt w:val="decimal"/>
      <w:lvlText w:val=""/>
      <w:lvlJc w:val="left"/>
    </w:lvl>
    <w:lvl w:ilvl="6" w:tplc="52329F74">
      <w:numFmt w:val="decimal"/>
      <w:lvlText w:val=""/>
      <w:lvlJc w:val="left"/>
    </w:lvl>
    <w:lvl w:ilvl="7" w:tplc="CD14F352">
      <w:numFmt w:val="decimal"/>
      <w:lvlText w:val=""/>
      <w:lvlJc w:val="left"/>
    </w:lvl>
    <w:lvl w:ilvl="8" w:tplc="406601E2">
      <w:numFmt w:val="decimal"/>
      <w:lvlText w:val=""/>
      <w:lvlJc w:val="left"/>
    </w:lvl>
  </w:abstractNum>
  <w:abstractNum w:abstractNumId="1" w15:restartNumberingAfterBreak="0">
    <w:nsid w:val="37DB7C08"/>
    <w:multiLevelType w:val="hybridMultilevel"/>
    <w:tmpl w:val="01241E50"/>
    <w:lvl w:ilvl="0" w:tplc="42B6B70C">
      <w:start w:val="1"/>
      <w:numFmt w:val="decimal"/>
      <w:lvlText w:val="Documento nº %1.—"/>
      <w:lvlJc w:val="left"/>
      <w:pPr>
        <w:ind w:left="1250" w:hanging="1250"/>
      </w:pPr>
    </w:lvl>
    <w:lvl w:ilvl="1" w:tplc="B590CCF0">
      <w:numFmt w:val="decimal"/>
      <w:lvlText w:val=""/>
      <w:lvlJc w:val="left"/>
    </w:lvl>
    <w:lvl w:ilvl="2" w:tplc="927AFED6">
      <w:numFmt w:val="decimal"/>
      <w:lvlText w:val=""/>
      <w:lvlJc w:val="left"/>
    </w:lvl>
    <w:lvl w:ilvl="3" w:tplc="236E9614">
      <w:numFmt w:val="decimal"/>
      <w:lvlText w:val=""/>
      <w:lvlJc w:val="left"/>
    </w:lvl>
    <w:lvl w:ilvl="4" w:tplc="F4060AF4">
      <w:numFmt w:val="decimal"/>
      <w:lvlText w:val=""/>
      <w:lvlJc w:val="left"/>
    </w:lvl>
    <w:lvl w:ilvl="5" w:tplc="79AE84CC">
      <w:numFmt w:val="decimal"/>
      <w:lvlText w:val=""/>
      <w:lvlJc w:val="left"/>
    </w:lvl>
    <w:lvl w:ilvl="6" w:tplc="216EC4A0">
      <w:numFmt w:val="decimal"/>
      <w:lvlText w:val=""/>
      <w:lvlJc w:val="left"/>
    </w:lvl>
    <w:lvl w:ilvl="7" w:tplc="BB1833B4">
      <w:numFmt w:val="decimal"/>
      <w:lvlText w:val=""/>
      <w:lvlJc w:val="left"/>
    </w:lvl>
    <w:lvl w:ilvl="8" w:tplc="D2CC9CE4">
      <w:numFmt w:val="decimal"/>
      <w:lvlText w:val=""/>
      <w:lvlJc w:val="left"/>
    </w:lvl>
  </w:abstractNum>
  <w:abstractNum w:abstractNumId="2" w15:restartNumberingAfterBreak="0">
    <w:nsid w:val="5E81346D"/>
    <w:multiLevelType w:val="hybridMultilevel"/>
    <w:tmpl w:val="119C11C8"/>
    <w:lvl w:ilvl="0" w:tplc="819E0938">
      <w:start w:val="1"/>
      <w:numFmt w:val="bullet"/>
      <w:lvlText w:val="●"/>
      <w:lvlJc w:val="left"/>
      <w:pPr>
        <w:ind w:left="720" w:hanging="360"/>
      </w:pPr>
    </w:lvl>
    <w:lvl w:ilvl="1" w:tplc="1382DB9E">
      <w:start w:val="1"/>
      <w:numFmt w:val="bullet"/>
      <w:lvlText w:val="○"/>
      <w:lvlJc w:val="left"/>
      <w:pPr>
        <w:ind w:left="1440" w:hanging="360"/>
      </w:pPr>
    </w:lvl>
    <w:lvl w:ilvl="2" w:tplc="F43E9398">
      <w:start w:val="1"/>
      <w:numFmt w:val="bullet"/>
      <w:lvlText w:val="■"/>
      <w:lvlJc w:val="left"/>
      <w:pPr>
        <w:ind w:left="2160" w:hanging="360"/>
      </w:pPr>
    </w:lvl>
    <w:lvl w:ilvl="3" w:tplc="A8626430">
      <w:start w:val="1"/>
      <w:numFmt w:val="bullet"/>
      <w:lvlText w:val="●"/>
      <w:lvlJc w:val="left"/>
      <w:pPr>
        <w:ind w:left="2880" w:hanging="360"/>
      </w:pPr>
    </w:lvl>
    <w:lvl w:ilvl="4" w:tplc="0E1A7950">
      <w:start w:val="1"/>
      <w:numFmt w:val="bullet"/>
      <w:lvlText w:val="○"/>
      <w:lvlJc w:val="left"/>
      <w:pPr>
        <w:ind w:left="3600" w:hanging="360"/>
      </w:pPr>
    </w:lvl>
    <w:lvl w:ilvl="5" w:tplc="95DA7778">
      <w:start w:val="1"/>
      <w:numFmt w:val="bullet"/>
      <w:lvlText w:val="■"/>
      <w:lvlJc w:val="left"/>
      <w:pPr>
        <w:ind w:left="4320" w:hanging="360"/>
      </w:pPr>
    </w:lvl>
    <w:lvl w:ilvl="6" w:tplc="9342EBE8">
      <w:start w:val="1"/>
      <w:numFmt w:val="bullet"/>
      <w:lvlText w:val="●"/>
      <w:lvlJc w:val="left"/>
      <w:pPr>
        <w:ind w:left="5040" w:hanging="360"/>
      </w:pPr>
    </w:lvl>
    <w:lvl w:ilvl="7" w:tplc="A202D71E">
      <w:start w:val="1"/>
      <w:numFmt w:val="bullet"/>
      <w:lvlText w:val="●"/>
      <w:lvlJc w:val="left"/>
      <w:pPr>
        <w:ind w:left="5760" w:hanging="360"/>
      </w:pPr>
    </w:lvl>
    <w:lvl w:ilvl="8" w:tplc="1D768A04">
      <w:start w:val="1"/>
      <w:numFmt w:val="bullet"/>
      <w:lvlText w:val="●"/>
      <w:lvlJc w:val="left"/>
      <w:pPr>
        <w:ind w:left="6480" w:hanging="360"/>
      </w:pPr>
    </w:lvl>
  </w:abstractNum>
  <w:abstractNum w:abstractNumId="3" w15:restartNumberingAfterBreak="0">
    <w:nsid w:val="73B95922"/>
    <w:multiLevelType w:val="hybridMultilevel"/>
    <w:tmpl w:val="80E2ED9E"/>
    <w:lvl w:ilvl="0" w:tplc="6D78FEDE">
      <w:start w:val="1"/>
      <w:numFmt w:val="decimal"/>
      <w:lvlText w:val="%1."/>
      <w:lvlJc w:val="left"/>
      <w:pPr>
        <w:ind w:left="567" w:hanging="283"/>
      </w:pPr>
    </w:lvl>
    <w:lvl w:ilvl="1" w:tplc="24449B98">
      <w:numFmt w:val="decimal"/>
      <w:lvlText w:val=""/>
      <w:lvlJc w:val="left"/>
    </w:lvl>
    <w:lvl w:ilvl="2" w:tplc="9AB6AF32">
      <w:numFmt w:val="decimal"/>
      <w:lvlText w:val=""/>
      <w:lvlJc w:val="left"/>
    </w:lvl>
    <w:lvl w:ilvl="3" w:tplc="9EA6DFAC">
      <w:numFmt w:val="decimal"/>
      <w:lvlText w:val=""/>
      <w:lvlJc w:val="left"/>
    </w:lvl>
    <w:lvl w:ilvl="4" w:tplc="7270B802">
      <w:numFmt w:val="decimal"/>
      <w:lvlText w:val=""/>
      <w:lvlJc w:val="left"/>
    </w:lvl>
    <w:lvl w:ilvl="5" w:tplc="AF1A17FE">
      <w:numFmt w:val="decimal"/>
      <w:lvlText w:val=""/>
      <w:lvlJc w:val="left"/>
    </w:lvl>
    <w:lvl w:ilvl="6" w:tplc="DF125C1E">
      <w:numFmt w:val="decimal"/>
      <w:lvlText w:val=""/>
      <w:lvlJc w:val="left"/>
    </w:lvl>
    <w:lvl w:ilvl="7" w:tplc="49186B58">
      <w:numFmt w:val="decimal"/>
      <w:lvlText w:val=""/>
      <w:lvlJc w:val="left"/>
    </w:lvl>
    <w:lvl w:ilvl="8" w:tplc="6D6646DA">
      <w:numFmt w:val="decimal"/>
      <w:lvlText w:val=""/>
      <w:lvlJc w:val="left"/>
    </w:lvl>
  </w:abstractNum>
  <w:num w:numId="1" w16cid:durableId="2103330451">
    <w:abstractNumId w:val="2"/>
    <w:lvlOverride w:ilvl="0">
      <w:startOverride w:val="1"/>
    </w:lvlOverride>
  </w:num>
  <w:num w:numId="2" w16cid:durableId="1419860672">
    <w:abstractNumId w:val="0"/>
    <w:lvlOverride w:ilvl="0">
      <w:startOverride w:val="1"/>
    </w:lvlOverride>
  </w:num>
  <w:num w:numId="3" w16cid:durableId="1014840918">
    <w:abstractNumId w:val="1"/>
    <w:lvlOverride w:ilvl="0">
      <w:startOverride w:val="1"/>
    </w:lvlOverride>
  </w:num>
  <w:num w:numId="4" w16cid:durableId="163790344">
    <w:abstractNumId w:val="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A2"/>
    <w:rsid w:val="00186C55"/>
    <w:rsid w:val="00495EA2"/>
    <w:rsid w:val="008A3B5F"/>
    <w:rsid w:val="00AE0B60"/>
    <w:rsid w:val="00B22E67"/>
    <w:rsid w:val="00EB7AC4"/>
    <w:rsid w:val="00EF55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5F23452"/>
  <w15:docId w15:val="{53516DAD-3595-4347-AFAD-06D62943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lquilerviviendavacacion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lquilerviviendavacaciona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3588</Words>
  <Characters>19738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Modelo de reclamación — gastos de obtención y mantenimiento del NRUA (STS 620/2026)</vt:lpstr>
    </vt:vector>
  </TitlesOfParts>
  <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reclamación — gastos de obtención y mantenimiento del NRUA (STS 620/2026)</dc:title>
  <dc:creator>www.alquilerviviendavacacional.com</dc:creator>
  <dc:description>Modelo de reclamación de responsabilidad patrimonial por los gastos de obtención y mantenimiento del NRUA tras la STS 620/2026</dc:description>
  <cp:lastModifiedBy>Juan Antonio Mateos Mateos</cp:lastModifiedBy>
  <cp:revision>3</cp:revision>
  <dcterms:created xsi:type="dcterms:W3CDTF">2026-08-16T08:31:00Z</dcterms:created>
  <dcterms:modified xsi:type="dcterms:W3CDTF">2026-08-16T15:43:00Z</dcterms:modified>
</cp:coreProperties>
</file>